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A34CE" w14:textId="3DAF2BA1" w:rsidR="0061037C" w:rsidRDefault="0061037C"/>
    <w:p w14:paraId="04298C38" w14:textId="48F4F3D2" w:rsidR="0061037C" w:rsidRDefault="0061037C"/>
    <w:p w14:paraId="783A90F5" w14:textId="36CEBCB3" w:rsidR="0061037C" w:rsidRDefault="0061037C" w:rsidP="0061037C">
      <w:pPr>
        <w:pStyle w:val="ListParagraph"/>
        <w:numPr>
          <w:ilvl w:val="0"/>
          <w:numId w:val="1"/>
        </w:numPr>
      </w:pPr>
      <w:r>
        <w:t>What are three conclusions we can make about Kickstarter campaigns given the provided data?</w:t>
      </w:r>
    </w:p>
    <w:p w14:paraId="5AE54285" w14:textId="62FB1411" w:rsidR="00E70D70" w:rsidRDefault="00E70D70" w:rsidP="00E70D70">
      <w:pPr>
        <w:pStyle w:val="ListParagraph"/>
        <w:numPr>
          <w:ilvl w:val="1"/>
          <w:numId w:val="1"/>
        </w:numPr>
      </w:pPr>
      <w:r>
        <w:rPr>
          <w:noProof/>
        </w:rPr>
        <w:drawing>
          <wp:anchor distT="0" distB="0" distL="114300" distR="114300" simplePos="0" relativeHeight="251658240" behindDoc="0" locked="0" layoutInCell="1" allowOverlap="1" wp14:anchorId="3F443EE1" wp14:editId="787A733E">
            <wp:simplePos x="0" y="0"/>
            <wp:positionH relativeFrom="column">
              <wp:posOffset>914400</wp:posOffset>
            </wp:positionH>
            <wp:positionV relativeFrom="paragraph">
              <wp:posOffset>-1905</wp:posOffset>
            </wp:positionV>
            <wp:extent cx="5036820" cy="2484120"/>
            <wp:effectExtent l="0" t="0" r="11430" b="11430"/>
            <wp:wrapTopAndBottom/>
            <wp:docPr id="1" name="Chart 1">
              <a:extLst xmlns:a="http://schemas.openxmlformats.org/drawingml/2006/main">
                <a:ext uri="{FF2B5EF4-FFF2-40B4-BE49-F238E27FC236}">
                  <a16:creationId xmlns:a16="http://schemas.microsoft.com/office/drawing/2014/main" id="{F73EB4D8-3225-4C04-950E-0282F986E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t xml:space="preserve">When we analyze the sub-categories as a percent of the total amount of Kickstarter campaigns, we discover that </w:t>
      </w:r>
      <w:r w:rsidRPr="00E70D70">
        <w:rPr>
          <w:b/>
        </w:rPr>
        <w:t>Plays</w:t>
      </w:r>
      <w:r>
        <w:rPr>
          <w:b/>
        </w:rPr>
        <w:t xml:space="preserve"> </w:t>
      </w:r>
      <w:r>
        <w:t xml:space="preserve">make by far the greatest percentage of events as they make-up </w:t>
      </w:r>
      <w:r w:rsidRPr="00E70D70">
        <w:rPr>
          <w:b/>
        </w:rPr>
        <w:t>25.9%</w:t>
      </w:r>
      <w:r>
        <w:rPr>
          <w:b/>
        </w:rPr>
        <w:t xml:space="preserve"> </w:t>
      </w:r>
      <w:r>
        <w:t xml:space="preserve">of the </w:t>
      </w:r>
      <w:r w:rsidR="00660DCC">
        <w:t xml:space="preserve">4000 plus projects we have. We can conclude with our current sample size, that Kickstarter is a major source of funding for many start-ups focused on Theatres, and more specifically </w:t>
      </w:r>
      <w:r w:rsidR="00660DCC" w:rsidRPr="00660DCC">
        <w:rPr>
          <w:b/>
        </w:rPr>
        <w:t>plays that need funding</w:t>
      </w:r>
      <w:r w:rsidR="00660DCC">
        <w:t xml:space="preserve">. </w:t>
      </w:r>
    </w:p>
    <w:p w14:paraId="2C846F63" w14:textId="3D9EF6DE" w:rsidR="00213628" w:rsidRDefault="00660DCC" w:rsidP="00213628">
      <w:pPr>
        <w:pStyle w:val="ListParagraph"/>
        <w:numPr>
          <w:ilvl w:val="1"/>
          <w:numId w:val="1"/>
        </w:numPr>
      </w:pPr>
      <w:r>
        <w:rPr>
          <w:noProof/>
        </w:rPr>
        <w:drawing>
          <wp:anchor distT="0" distB="0" distL="114300" distR="114300" simplePos="0" relativeHeight="251659264" behindDoc="0" locked="0" layoutInCell="1" allowOverlap="1" wp14:anchorId="1444FC6C" wp14:editId="3EB600ED">
            <wp:simplePos x="0" y="0"/>
            <wp:positionH relativeFrom="column">
              <wp:posOffset>914400</wp:posOffset>
            </wp:positionH>
            <wp:positionV relativeFrom="paragraph">
              <wp:posOffset>-1905</wp:posOffset>
            </wp:positionV>
            <wp:extent cx="5038344" cy="2487168"/>
            <wp:effectExtent l="0" t="0" r="10160" b="8890"/>
            <wp:wrapTopAndBottom/>
            <wp:docPr id="2" name="Chart 2">
              <a:extLst xmlns:a="http://schemas.openxmlformats.org/drawingml/2006/main">
                <a:ext uri="{FF2B5EF4-FFF2-40B4-BE49-F238E27FC236}">
                  <a16:creationId xmlns:a16="http://schemas.microsoft.com/office/drawing/2014/main" id="{F73EB4D8-3225-4C04-950E-0282F986E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B1584A">
        <w:t>When we further analyze our Kickstarter dataset by successful campaigns</w:t>
      </w:r>
      <w:r w:rsidR="005551DC">
        <w:t>,</w:t>
      </w:r>
      <w:r w:rsidR="00906401">
        <w:t xml:space="preserve"> plays</w:t>
      </w:r>
      <w:r w:rsidR="005551DC">
        <w:t xml:space="preserve"> </w:t>
      </w:r>
      <w:r w:rsidR="00BC3785">
        <w:t xml:space="preserve">make-up over </w:t>
      </w:r>
      <w:r w:rsidR="00BC3785" w:rsidRPr="009E0621">
        <w:rPr>
          <w:b/>
        </w:rPr>
        <w:t>30%</w:t>
      </w:r>
      <w:r w:rsidR="00BC3785">
        <w:t xml:space="preserve"> of the total successful campaigns. The next closest, would be rock, which make-up </w:t>
      </w:r>
      <w:r w:rsidR="00BC3785" w:rsidRPr="009E0621">
        <w:rPr>
          <w:b/>
        </w:rPr>
        <w:t>11.9%</w:t>
      </w:r>
      <w:r w:rsidR="00BC3785">
        <w:t xml:space="preserve"> of the successful campaigns. </w:t>
      </w:r>
      <w:r w:rsidR="00D677F4">
        <w:t>It is important to note that plays also make-up the highest percent of failed campaigns</w:t>
      </w:r>
      <w:r w:rsidR="00213628">
        <w:t xml:space="preserve"> at </w:t>
      </w:r>
      <w:r w:rsidR="00213628" w:rsidRPr="009E0621">
        <w:rPr>
          <w:b/>
        </w:rPr>
        <w:t>23%</w:t>
      </w:r>
      <w:r w:rsidR="00D677F4" w:rsidRPr="009E0621">
        <w:rPr>
          <w:b/>
        </w:rPr>
        <w:t>,</w:t>
      </w:r>
      <w:r w:rsidR="00D677F4">
        <w:t xml:space="preserve"> as can be noted below. This demonstrates that although plays are the most successful as a percent of all campaigns, they don’t have the best success rate. </w:t>
      </w:r>
    </w:p>
    <w:p w14:paraId="5890D231" w14:textId="5B0D9B1A" w:rsidR="00213628" w:rsidRDefault="00906401" w:rsidP="00213628">
      <w:pPr>
        <w:pStyle w:val="ListParagraph"/>
        <w:numPr>
          <w:ilvl w:val="1"/>
          <w:numId w:val="1"/>
        </w:numPr>
      </w:pPr>
      <w:r>
        <w:rPr>
          <w:noProof/>
        </w:rPr>
        <w:lastRenderedPageBreak/>
        <w:drawing>
          <wp:anchor distT="0" distB="0" distL="114300" distR="114300" simplePos="0" relativeHeight="251662336" behindDoc="0" locked="0" layoutInCell="1" allowOverlap="1" wp14:anchorId="112092D9" wp14:editId="3408A749">
            <wp:simplePos x="0" y="0"/>
            <wp:positionH relativeFrom="column">
              <wp:posOffset>914400</wp:posOffset>
            </wp:positionH>
            <wp:positionV relativeFrom="paragraph">
              <wp:posOffset>0</wp:posOffset>
            </wp:positionV>
            <wp:extent cx="5334000" cy="1852295"/>
            <wp:effectExtent l="0" t="0" r="0" b="14605"/>
            <wp:wrapTopAndBottom/>
            <wp:docPr id="4" name="Chart 4">
              <a:extLst xmlns:a="http://schemas.openxmlformats.org/drawingml/2006/main">
                <a:ext uri="{FF2B5EF4-FFF2-40B4-BE49-F238E27FC236}">
                  <a16:creationId xmlns:a16="http://schemas.microsoft.com/office/drawing/2014/main" id="{0B9AE3A5-0A08-48EB-BE78-F76C60A33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anchor>
        </w:drawing>
      </w:r>
      <w:r>
        <w:t xml:space="preserve">When we </w:t>
      </w:r>
      <w:proofErr w:type="gramStart"/>
      <w:r>
        <w:t>take a look</w:t>
      </w:r>
      <w:proofErr w:type="gramEnd"/>
      <w:r>
        <w:t xml:space="preserve"> at the success rates by categories, we can conclude that music has the highest success rate at 77%, with the next closest being theater at 60%. At a total of 702 campaigns, and 17% of all </w:t>
      </w:r>
      <w:proofErr w:type="spellStart"/>
      <w:r>
        <w:t>kickstarter</w:t>
      </w:r>
      <w:proofErr w:type="spellEnd"/>
      <w:r>
        <w:t xml:space="preserve"> campaigns that we analyzed, we can feel confident that we have a good amount of data to back our conclusion. </w:t>
      </w:r>
      <w:r w:rsidR="009E0621">
        <w:t xml:space="preserve">It was also very interesting to note that </w:t>
      </w:r>
    </w:p>
    <w:p w14:paraId="3D9D960C" w14:textId="77777777" w:rsidR="009E0621" w:rsidRDefault="009E0621" w:rsidP="009E0621">
      <w:pPr>
        <w:pStyle w:val="ListParagraph"/>
        <w:numPr>
          <w:ilvl w:val="0"/>
          <w:numId w:val="1"/>
        </w:numPr>
      </w:pPr>
    </w:p>
    <w:p w14:paraId="146E90EE" w14:textId="4EC6F8FA" w:rsidR="00213628" w:rsidRDefault="00213628" w:rsidP="00213628"/>
    <w:p w14:paraId="05E5095D" w14:textId="5E9328A8" w:rsidR="00944380" w:rsidRDefault="00BC3785" w:rsidP="009E0621">
      <w:pPr>
        <w:pStyle w:val="ListParagraph"/>
        <w:numPr>
          <w:ilvl w:val="1"/>
          <w:numId w:val="1"/>
        </w:numPr>
      </w:pPr>
      <w:r>
        <w:rPr>
          <w:noProof/>
        </w:rPr>
        <w:drawing>
          <wp:anchor distT="0" distB="0" distL="114300" distR="114300" simplePos="0" relativeHeight="251660288" behindDoc="0" locked="0" layoutInCell="1" allowOverlap="1" wp14:anchorId="3933B7E8" wp14:editId="3FE15A8A">
            <wp:simplePos x="0" y="0"/>
            <wp:positionH relativeFrom="margin">
              <wp:align>right</wp:align>
            </wp:positionH>
            <wp:positionV relativeFrom="paragraph">
              <wp:posOffset>0</wp:posOffset>
            </wp:positionV>
            <wp:extent cx="5038344" cy="2487168"/>
            <wp:effectExtent l="0" t="0" r="10160" b="8890"/>
            <wp:wrapTopAndBottom/>
            <wp:docPr id="3" name="Chart 3">
              <a:extLst xmlns:a="http://schemas.openxmlformats.org/drawingml/2006/main">
                <a:ext uri="{FF2B5EF4-FFF2-40B4-BE49-F238E27FC236}">
                  <a16:creationId xmlns:a16="http://schemas.microsoft.com/office/drawing/2014/main" id="{74FCEC5A-B425-4CBB-8885-DF2B57952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t xml:space="preserve">When we analyze trends between Outcomes and </w:t>
      </w:r>
      <w:r w:rsidR="00944380">
        <w:t xml:space="preserve">Goals, 70% of Kickstarter campaigns were successful that had goals less than $1000. As the goals increased, the number of successful campaigns decreased. Campaigns that had goals of $50,000 or more succeeded only 19% of the time. Most of us would assume that the higher your goal is, the greater likelihood of failure, and the data confirms this. </w:t>
      </w:r>
      <w:r w:rsidR="000E1B7F">
        <w:t xml:space="preserve">It </w:t>
      </w:r>
      <w:r w:rsidR="009E0621">
        <w:t xml:space="preserve">is important to note a limitation of our data here is that the different currencies can skew this information. We would need to normalize the data and convert to one currency, say USD to have a more accurate depiction. </w:t>
      </w:r>
    </w:p>
    <w:p w14:paraId="4E8B9251" w14:textId="0B7A4443" w:rsidR="009E0621" w:rsidRDefault="005A1DD7" w:rsidP="009E0621">
      <w:pPr>
        <w:pStyle w:val="ListParagraph"/>
        <w:numPr>
          <w:ilvl w:val="1"/>
          <w:numId w:val="1"/>
        </w:numPr>
      </w:pPr>
      <w:r>
        <w:t xml:space="preserve">Other limitations may include that we don’t have access to the demographics. This would involve another layer of city data, or more information on the background of the founders that are running the </w:t>
      </w:r>
      <w:proofErr w:type="spellStart"/>
      <w:r>
        <w:t>kickstarter</w:t>
      </w:r>
      <w:proofErr w:type="spellEnd"/>
      <w:r>
        <w:t xml:space="preserve"> campaigns. This can potentially shed light on </w:t>
      </w:r>
      <w:r>
        <w:lastRenderedPageBreak/>
        <w:t xml:space="preserve">whether people that live in smaller towns are at a disadvantage </w:t>
      </w:r>
      <w:r w:rsidR="00EE7CFF">
        <w:t xml:space="preserve">in </w:t>
      </w:r>
      <w:proofErr w:type="spellStart"/>
      <w:r w:rsidR="00EE7CFF">
        <w:t>kickstarter</w:t>
      </w:r>
      <w:proofErr w:type="spellEnd"/>
      <w:r w:rsidR="00EE7CFF">
        <w:t xml:space="preserve"> campaigns versus people in large cities. </w:t>
      </w:r>
    </w:p>
    <w:p w14:paraId="45D3BBB6" w14:textId="77777777" w:rsidR="00EE7CFF" w:rsidRDefault="00EE7CFF" w:rsidP="00EE7CFF">
      <w:pPr>
        <w:pStyle w:val="ListParagraph"/>
        <w:numPr>
          <w:ilvl w:val="1"/>
          <w:numId w:val="1"/>
        </w:numPr>
      </w:pPr>
      <w:r>
        <w:t>Another limitation is that we do not have info on why campaigns are canceled. This could give us added detail to the that data field.</w:t>
      </w:r>
    </w:p>
    <w:p w14:paraId="12EC47BF" w14:textId="3564B2CA" w:rsidR="00EF6A72" w:rsidRDefault="00EE7CFF" w:rsidP="00EF6A72">
      <w:pPr>
        <w:pStyle w:val="ListParagraph"/>
        <w:numPr>
          <w:ilvl w:val="0"/>
          <w:numId w:val="1"/>
        </w:numPr>
      </w:pPr>
      <w:r>
        <w:t xml:space="preserve">Throughout this exercise I did additional pivots and graphs based on percentages of the total </w:t>
      </w:r>
      <w:proofErr w:type="spellStart"/>
      <w:r>
        <w:t>kickstarter</w:t>
      </w:r>
      <w:proofErr w:type="spellEnd"/>
      <w:r>
        <w:t xml:space="preserve"> campaigns, and success rates. Analyzing the information by success rates of individual </w:t>
      </w:r>
      <w:r w:rsidR="00EF6A72">
        <w:t xml:space="preserve">categories allows you to realize that campaigns in Rock, hardware and documentaries were successful 100% of the time in the data set that we analyzed. If you had analyzed those categories only as a percent of the total campaigns, they would’ve provided minimal value. Another interesting way to depict this information would be if Kickstarter provided qualitative factors to why the </w:t>
      </w:r>
      <w:proofErr w:type="spellStart"/>
      <w:r w:rsidR="00EF6A72">
        <w:t>kickstarter</w:t>
      </w:r>
      <w:proofErr w:type="spellEnd"/>
      <w:r w:rsidR="00EF6A72">
        <w:t xml:space="preserve"> events got canceled, succeeded etc. You could also see if there is a correlation between the descriptions of the events and their success rates. </w:t>
      </w:r>
      <w:bookmarkStart w:id="0" w:name="_GoBack"/>
      <w:bookmarkEnd w:id="0"/>
    </w:p>
    <w:sectPr w:rsidR="00EF6A7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D5FE6" w14:textId="77777777" w:rsidR="00C22FFE" w:rsidRDefault="00C22FFE" w:rsidP="0061037C">
      <w:pPr>
        <w:spacing w:after="0" w:line="240" w:lineRule="auto"/>
      </w:pPr>
      <w:r>
        <w:separator/>
      </w:r>
    </w:p>
  </w:endnote>
  <w:endnote w:type="continuationSeparator" w:id="0">
    <w:p w14:paraId="65A18128" w14:textId="77777777" w:rsidR="00C22FFE" w:rsidRDefault="00C22FFE" w:rsidP="00610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1AFD0" w14:textId="77777777" w:rsidR="00C22FFE" w:rsidRDefault="00C22FFE" w:rsidP="0061037C">
      <w:pPr>
        <w:spacing w:after="0" w:line="240" w:lineRule="auto"/>
      </w:pPr>
      <w:r>
        <w:separator/>
      </w:r>
    </w:p>
  </w:footnote>
  <w:footnote w:type="continuationSeparator" w:id="0">
    <w:p w14:paraId="39465905" w14:textId="77777777" w:rsidR="00C22FFE" w:rsidRDefault="00C22FFE" w:rsidP="00610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BF9B9" w14:textId="154A259B" w:rsidR="0061037C" w:rsidRDefault="0061037C">
    <w:pPr>
      <w:pStyle w:val="Header"/>
    </w:pPr>
    <w:r>
      <w:tab/>
    </w:r>
    <w:r>
      <w:tab/>
      <w:t>Omar Castillo</w:t>
    </w:r>
  </w:p>
  <w:p w14:paraId="5891575E" w14:textId="15AD8AB6" w:rsidR="0061037C" w:rsidRDefault="0061037C">
    <w:pPr>
      <w:pStyle w:val="Header"/>
    </w:pPr>
    <w:r>
      <w:tab/>
    </w:r>
    <w:r>
      <w:tab/>
      <w:t>Data Analytics Bootcamp Assignment#1</w:t>
    </w:r>
  </w:p>
  <w:p w14:paraId="27E5142F" w14:textId="77777777" w:rsidR="0061037C" w:rsidRDefault="00610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F3DCB"/>
    <w:multiLevelType w:val="hybridMultilevel"/>
    <w:tmpl w:val="9E36040C"/>
    <w:lvl w:ilvl="0" w:tplc="8D2077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7C"/>
    <w:rsid w:val="000E1B7F"/>
    <w:rsid w:val="00213628"/>
    <w:rsid w:val="002B1DA6"/>
    <w:rsid w:val="005551DC"/>
    <w:rsid w:val="005A1DD7"/>
    <w:rsid w:val="0061037C"/>
    <w:rsid w:val="0064755A"/>
    <w:rsid w:val="00660DCC"/>
    <w:rsid w:val="00906401"/>
    <w:rsid w:val="00944380"/>
    <w:rsid w:val="009E0621"/>
    <w:rsid w:val="00B1584A"/>
    <w:rsid w:val="00BC3785"/>
    <w:rsid w:val="00C11CF5"/>
    <w:rsid w:val="00C22FFE"/>
    <w:rsid w:val="00D677F4"/>
    <w:rsid w:val="00E70D70"/>
    <w:rsid w:val="00EE7CFF"/>
    <w:rsid w:val="00EF6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03EC"/>
  <w15:chartTrackingRefBased/>
  <w15:docId w15:val="{34660831-5D35-464E-9CA6-12BA2F0D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3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37C"/>
  </w:style>
  <w:style w:type="paragraph" w:styleId="Footer">
    <w:name w:val="footer"/>
    <w:basedOn w:val="Normal"/>
    <w:link w:val="FooterChar"/>
    <w:uiPriority w:val="99"/>
    <w:unhideWhenUsed/>
    <w:rsid w:val="006103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37C"/>
  </w:style>
  <w:style w:type="character" w:styleId="Hyperlink">
    <w:name w:val="Hyperlink"/>
    <w:basedOn w:val="DefaultParagraphFont"/>
    <w:uiPriority w:val="99"/>
    <w:unhideWhenUsed/>
    <w:rsid w:val="0061037C"/>
    <w:rPr>
      <w:color w:val="0563C1" w:themeColor="hyperlink"/>
      <w:u w:val="single"/>
    </w:rPr>
  </w:style>
  <w:style w:type="character" w:styleId="UnresolvedMention">
    <w:name w:val="Unresolved Mention"/>
    <w:basedOn w:val="DefaultParagraphFont"/>
    <w:uiPriority w:val="99"/>
    <w:semiHidden/>
    <w:unhideWhenUsed/>
    <w:rsid w:val="0061037C"/>
    <w:rPr>
      <w:color w:val="605E5C"/>
      <w:shd w:val="clear" w:color="auto" w:fill="E1DFDD"/>
    </w:rPr>
  </w:style>
  <w:style w:type="paragraph" w:styleId="ListParagraph">
    <w:name w:val="List Paragraph"/>
    <w:basedOn w:val="Normal"/>
    <w:uiPriority w:val="34"/>
    <w:qFormat/>
    <w:rsid w:val="006103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marc\Desktop\HOMEWORK_OC\Homework%201\Homework_1_Omar_Castill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marc\Desktop\HOMEWORK_OC\Homework%201\Homework_1_Omar_Castill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[Homework_1_Omar_Castillo.xlsx]Pivot By Percentage !PivotTable2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Campaigns by Sub-Category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2"/>
          </a:solidFill>
          <a:ln>
            <a:noFill/>
          </a:ln>
          <a:effectLst/>
        </c:spPr>
        <c:dLbl>
          <c:idx val="0"/>
          <c:layout>
            <c:manualLayout>
              <c:x val="6.1643835616438353E-2"/>
              <c:y val="-3.170757774596356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2"/>
          </a:solidFill>
          <a:ln>
            <a:noFill/>
          </a:ln>
          <a:effectLst/>
        </c:spPr>
        <c:dLbl>
          <c:idx val="0"/>
          <c:layout>
            <c:manualLayout>
              <c:x val="6.1643835616438353E-2"/>
              <c:y val="-3.170757774596356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2"/>
          </a:solidFill>
          <a:ln>
            <a:noFill/>
          </a:ln>
          <a:effectLst/>
        </c:spPr>
        <c:dLbl>
          <c:idx val="0"/>
          <c:layout>
            <c:manualLayout>
              <c:x val="6.1643835616438353E-2"/>
              <c:y val="-3.170757774596356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barChart>
        <c:barDir val="col"/>
        <c:grouping val="stacked"/>
        <c:varyColors val="0"/>
        <c:ser>
          <c:idx val="0"/>
          <c:order val="0"/>
          <c:tx>
            <c:strRef>
              <c:f>'Pivot By Percentage '!$B$5:$B$6</c:f>
              <c:strCache>
                <c:ptCount val="1"/>
                <c:pt idx="0">
                  <c:v>Count of Outcomes</c:v>
                </c:pt>
              </c:strCache>
            </c:strRef>
          </c:tx>
          <c:spPr>
            <a:solidFill>
              <a:schemeClr val="accent1"/>
            </a:solidFill>
            <a:ln>
              <a:noFill/>
            </a:ln>
            <a:effectLst/>
          </c:spPr>
          <c:invertIfNegative val="0"/>
          <c:cat>
            <c:strRef>
              <c:f>'Pivot By Percentage '!$A$7:$A$48</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 By Percentage '!$B$7:$B$48</c:f>
              <c:numCache>
                <c:formatCode>General</c:formatCode>
                <c:ptCount val="41"/>
                <c:pt idx="0">
                  <c:v>1066</c:v>
                </c:pt>
                <c:pt idx="1">
                  <c:v>260</c:v>
                </c:pt>
                <c:pt idx="2">
                  <c:v>200</c:v>
                </c:pt>
                <c:pt idx="3">
                  <c:v>187</c:v>
                </c:pt>
                <c:pt idx="4">
                  <c:v>180</c:v>
                </c:pt>
                <c:pt idx="5">
                  <c:v>160</c:v>
                </c:pt>
                <c:pt idx="6">
                  <c:v>160</c:v>
                </c:pt>
                <c:pt idx="7">
                  <c:v>160</c:v>
                </c:pt>
                <c:pt idx="8">
                  <c:v>140</c:v>
                </c:pt>
                <c:pt idx="9">
                  <c:v>140</c:v>
                </c:pt>
                <c:pt idx="10">
                  <c:v>140</c:v>
                </c:pt>
                <c:pt idx="11">
                  <c:v>100</c:v>
                </c:pt>
                <c:pt idx="12">
                  <c:v>100</c:v>
                </c:pt>
                <c:pt idx="13">
                  <c:v>80</c:v>
                </c:pt>
                <c:pt idx="14">
                  <c:v>80</c:v>
                </c:pt>
                <c:pt idx="15">
                  <c:v>60</c:v>
                </c:pt>
                <c:pt idx="16">
                  <c:v>60</c:v>
                </c:pt>
                <c:pt idx="17">
                  <c:v>60</c:v>
                </c:pt>
                <c:pt idx="18">
                  <c:v>60</c:v>
                </c:pt>
                <c:pt idx="19">
                  <c:v>60</c:v>
                </c:pt>
                <c:pt idx="20">
                  <c:v>60</c:v>
                </c:pt>
                <c:pt idx="21">
                  <c:v>57</c:v>
                </c:pt>
                <c:pt idx="22">
                  <c:v>40</c:v>
                </c:pt>
                <c:pt idx="23">
                  <c:v>40</c:v>
                </c:pt>
                <c:pt idx="24">
                  <c:v>40</c:v>
                </c:pt>
                <c:pt idx="25">
                  <c:v>40</c:v>
                </c:pt>
                <c:pt idx="26">
                  <c:v>40</c:v>
                </c:pt>
                <c:pt idx="27">
                  <c:v>40</c:v>
                </c:pt>
                <c:pt idx="28">
                  <c:v>40</c:v>
                </c:pt>
                <c:pt idx="29">
                  <c:v>40</c:v>
                </c:pt>
                <c:pt idx="30">
                  <c:v>24</c:v>
                </c:pt>
                <c:pt idx="31">
                  <c:v>20</c:v>
                </c:pt>
                <c:pt idx="32">
                  <c:v>20</c:v>
                </c:pt>
                <c:pt idx="33">
                  <c:v>20</c:v>
                </c:pt>
                <c:pt idx="34">
                  <c:v>20</c:v>
                </c:pt>
                <c:pt idx="35">
                  <c:v>20</c:v>
                </c:pt>
                <c:pt idx="36">
                  <c:v>20</c:v>
                </c:pt>
                <c:pt idx="37">
                  <c:v>20</c:v>
                </c:pt>
                <c:pt idx="38">
                  <c:v>20</c:v>
                </c:pt>
                <c:pt idx="39">
                  <c:v>20</c:v>
                </c:pt>
                <c:pt idx="40">
                  <c:v>20</c:v>
                </c:pt>
              </c:numCache>
            </c:numRef>
          </c:val>
          <c:extLst>
            <c:ext xmlns:c16="http://schemas.microsoft.com/office/drawing/2014/chart" uri="{C3380CC4-5D6E-409C-BE32-E72D297353CC}">
              <c16:uniqueId val="{00000000-0ECC-4907-A7DA-3830B6A42706}"/>
            </c:ext>
          </c:extLst>
        </c:ser>
        <c:ser>
          <c:idx val="1"/>
          <c:order val="1"/>
          <c:tx>
            <c:strRef>
              <c:f>'Pivot By Percentage '!$C$5:$C$6</c:f>
              <c:strCache>
                <c:ptCount val="1"/>
                <c:pt idx="0">
                  <c:v>Percent of Total</c:v>
                </c:pt>
              </c:strCache>
            </c:strRef>
          </c:tx>
          <c:spPr>
            <a:solidFill>
              <a:schemeClr val="accent2"/>
            </a:solidFill>
            <a:ln>
              <a:noFill/>
            </a:ln>
            <a:effectLst/>
          </c:spPr>
          <c:invertIfNegative val="0"/>
          <c:dLbls>
            <c:dLbl>
              <c:idx val="0"/>
              <c:layout>
                <c:manualLayout>
                  <c:x val="6.1643835616438353E-2"/>
                  <c:y val="-3.170757774596356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C-4907-A7DA-3830B6A4270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'Pivot By Percentage '!$A$7:$A$48</c:f>
              <c:strCache>
                <c:ptCount val="41"/>
                <c:pt idx="0">
                  <c:v>plays</c:v>
                </c:pt>
                <c:pt idx="1">
                  <c:v>rock</c:v>
                </c:pt>
                <c:pt idx="2">
                  <c:v>wearables</c:v>
                </c:pt>
                <c:pt idx="3">
                  <c:v>spaces</c:v>
                </c:pt>
                <c:pt idx="4">
                  <c:v>documentary</c:v>
                </c:pt>
                <c:pt idx="5">
                  <c:v>photobooks</c:v>
                </c:pt>
                <c:pt idx="6">
                  <c:v>web</c:v>
                </c:pt>
                <c:pt idx="7">
                  <c:v>indie rock</c:v>
                </c:pt>
                <c:pt idx="8">
                  <c:v>hardware</c:v>
                </c:pt>
                <c:pt idx="9">
                  <c:v>food trucks</c:v>
                </c:pt>
                <c:pt idx="10">
                  <c:v>musical</c:v>
                </c:pt>
                <c:pt idx="11">
                  <c:v>video games</c:v>
                </c:pt>
                <c:pt idx="12">
                  <c:v>animation</c:v>
                </c:pt>
                <c:pt idx="13">
                  <c:v>drama</c:v>
                </c:pt>
                <c:pt idx="14">
                  <c:v>tabletop games</c:v>
                </c:pt>
                <c:pt idx="15">
                  <c:v>faith</c:v>
                </c:pt>
                <c:pt idx="16">
                  <c:v>jazz</c:v>
                </c:pt>
                <c:pt idx="17">
                  <c:v>space exploration</c:v>
                </c:pt>
                <c:pt idx="18">
                  <c:v>shorts</c:v>
                </c:pt>
                <c:pt idx="19">
                  <c:v>television</c:v>
                </c:pt>
                <c:pt idx="20">
                  <c:v>nonfiction</c:v>
                </c:pt>
                <c:pt idx="21">
                  <c:v>translations</c:v>
                </c:pt>
                <c:pt idx="22">
                  <c:v>electronic music</c:v>
                </c:pt>
                <c:pt idx="23">
                  <c:v>fiction</c:v>
                </c:pt>
                <c:pt idx="24">
                  <c:v>classical music</c:v>
                </c:pt>
                <c:pt idx="25">
                  <c:v>mobile games</c:v>
                </c:pt>
                <c:pt idx="26">
                  <c:v>pop</c:v>
                </c:pt>
                <c:pt idx="27">
                  <c:v>children's books</c:v>
                </c:pt>
                <c:pt idx="28">
                  <c:v>science fiction</c:v>
                </c:pt>
                <c:pt idx="29">
                  <c:v>small batch</c:v>
                </c:pt>
                <c:pt idx="30">
                  <c:v>audio</c:v>
                </c:pt>
                <c:pt idx="31">
                  <c:v>nature</c:v>
                </c:pt>
                <c:pt idx="32">
                  <c:v>art books</c:v>
                </c:pt>
                <c:pt idx="33">
                  <c:v>world music</c:v>
                </c:pt>
                <c:pt idx="34">
                  <c:v>radio &amp; podcasts</c:v>
                </c:pt>
                <c:pt idx="35">
                  <c:v>gadgets</c:v>
                </c:pt>
                <c:pt idx="36">
                  <c:v>makerspaces</c:v>
                </c:pt>
                <c:pt idx="37">
                  <c:v>people</c:v>
                </c:pt>
                <c:pt idx="38">
                  <c:v>metal</c:v>
                </c:pt>
                <c:pt idx="39">
                  <c:v>places</c:v>
                </c:pt>
                <c:pt idx="40">
                  <c:v>restaurants</c:v>
                </c:pt>
              </c:strCache>
            </c:strRef>
          </c:cat>
          <c:val>
            <c:numRef>
              <c:f>'Pivot By Percentage '!$C$7:$C$48</c:f>
              <c:numCache>
                <c:formatCode>0.00%</c:formatCode>
                <c:ptCount val="41"/>
                <c:pt idx="0">
                  <c:v>0.25911521633446766</c:v>
                </c:pt>
                <c:pt idx="1">
                  <c:v>6.3198833252309183E-2</c:v>
                </c:pt>
                <c:pt idx="2">
                  <c:v>4.8614487117160911E-2</c:v>
                </c:pt>
                <c:pt idx="3">
                  <c:v>4.5454545454545456E-2</c:v>
                </c:pt>
                <c:pt idx="4">
                  <c:v>4.3753038405444825E-2</c:v>
                </c:pt>
                <c:pt idx="5">
                  <c:v>3.8891589693728731E-2</c:v>
                </c:pt>
                <c:pt idx="6">
                  <c:v>3.8891589693728731E-2</c:v>
                </c:pt>
                <c:pt idx="7">
                  <c:v>3.8891589693728731E-2</c:v>
                </c:pt>
                <c:pt idx="8">
                  <c:v>3.4030140982012638E-2</c:v>
                </c:pt>
                <c:pt idx="9">
                  <c:v>3.4030140982012638E-2</c:v>
                </c:pt>
                <c:pt idx="10">
                  <c:v>3.4030140982012638E-2</c:v>
                </c:pt>
                <c:pt idx="11">
                  <c:v>2.4307243558580455E-2</c:v>
                </c:pt>
                <c:pt idx="12">
                  <c:v>2.4307243558580455E-2</c:v>
                </c:pt>
                <c:pt idx="13">
                  <c:v>1.9445794846864366E-2</c:v>
                </c:pt>
                <c:pt idx="14">
                  <c:v>1.9445794846864366E-2</c:v>
                </c:pt>
                <c:pt idx="15">
                  <c:v>1.4584346135148274E-2</c:v>
                </c:pt>
                <c:pt idx="16">
                  <c:v>1.4584346135148274E-2</c:v>
                </c:pt>
                <c:pt idx="17">
                  <c:v>1.4584346135148274E-2</c:v>
                </c:pt>
                <c:pt idx="18">
                  <c:v>1.4584346135148274E-2</c:v>
                </c:pt>
                <c:pt idx="19">
                  <c:v>1.4584346135148274E-2</c:v>
                </c:pt>
                <c:pt idx="20">
                  <c:v>1.4584346135148274E-2</c:v>
                </c:pt>
                <c:pt idx="21">
                  <c:v>1.3855128828390861E-2</c:v>
                </c:pt>
                <c:pt idx="22">
                  <c:v>9.7228974234321829E-3</c:v>
                </c:pt>
                <c:pt idx="23">
                  <c:v>9.7228974234321829E-3</c:v>
                </c:pt>
                <c:pt idx="24">
                  <c:v>9.7228974234321829E-3</c:v>
                </c:pt>
                <c:pt idx="25">
                  <c:v>9.7228974234321829E-3</c:v>
                </c:pt>
                <c:pt idx="26">
                  <c:v>9.7228974234321829E-3</c:v>
                </c:pt>
                <c:pt idx="27">
                  <c:v>9.7228974234321829E-3</c:v>
                </c:pt>
                <c:pt idx="28">
                  <c:v>9.7228974234321829E-3</c:v>
                </c:pt>
                <c:pt idx="29">
                  <c:v>9.7228974234321829E-3</c:v>
                </c:pt>
                <c:pt idx="30">
                  <c:v>5.8337384540593099E-3</c:v>
                </c:pt>
                <c:pt idx="31">
                  <c:v>4.8614487117160914E-3</c:v>
                </c:pt>
                <c:pt idx="32">
                  <c:v>4.8614487117160914E-3</c:v>
                </c:pt>
                <c:pt idx="33">
                  <c:v>4.8614487117160914E-3</c:v>
                </c:pt>
                <c:pt idx="34">
                  <c:v>4.8614487117160914E-3</c:v>
                </c:pt>
                <c:pt idx="35">
                  <c:v>4.8614487117160914E-3</c:v>
                </c:pt>
                <c:pt idx="36">
                  <c:v>4.8614487117160914E-3</c:v>
                </c:pt>
                <c:pt idx="37">
                  <c:v>4.8614487117160914E-3</c:v>
                </c:pt>
                <c:pt idx="38">
                  <c:v>4.8614487117160914E-3</c:v>
                </c:pt>
                <c:pt idx="39">
                  <c:v>4.8614487117160914E-3</c:v>
                </c:pt>
                <c:pt idx="40">
                  <c:v>4.8614487117160914E-3</c:v>
                </c:pt>
              </c:numCache>
            </c:numRef>
          </c:val>
          <c:extLst>
            <c:ext xmlns:c16="http://schemas.microsoft.com/office/drawing/2014/chart" uri="{C3380CC4-5D6E-409C-BE32-E72D297353CC}">
              <c16:uniqueId val="{00000002-0ECC-4907-A7DA-3830B6A42706}"/>
            </c:ext>
          </c:extLst>
        </c:ser>
        <c:dLbls>
          <c:showLegendKey val="0"/>
          <c:showVal val="0"/>
          <c:showCatName val="0"/>
          <c:showSerName val="0"/>
          <c:showPercent val="0"/>
          <c:showBubbleSize val="0"/>
        </c:dLbls>
        <c:gapWidth val="150"/>
        <c:overlap val="100"/>
        <c:axId val="571884656"/>
        <c:axId val="571885968"/>
      </c:barChart>
      <c:catAx>
        <c:axId val="57188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85968"/>
        <c:crosses val="autoZero"/>
        <c:auto val="1"/>
        <c:lblAlgn val="ctr"/>
        <c:lblOffset val="100"/>
        <c:noMultiLvlLbl val="0"/>
      </c:catAx>
      <c:valAx>
        <c:axId val="57188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846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[Homework_1_Omar_Castillo.xlsx]Pivot By Percentage !PivotTable2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Successful Campaigns by Sub-Category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dLbl>
          <c:idx val="0"/>
          <c:layout>
            <c:manualLayout>
              <c:x val="6.1643835616438353E-2"/>
              <c:y val="-3.170757774596356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2"/>
          </a:solidFill>
          <a:ln>
            <a:noFill/>
          </a:ln>
          <a:effectLst/>
        </c:spPr>
        <c:dLbl>
          <c:idx val="0"/>
          <c:layout>
            <c:manualLayout>
              <c:x val="3.2407407407407406E-2"/>
              <c:y val="-6.007665235027442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2"/>
          </a:solidFill>
          <a:ln>
            <a:noFill/>
          </a:ln>
          <a:effectLst/>
        </c:spPr>
        <c:dLbl>
          <c:idx val="0"/>
          <c:layout>
            <c:manualLayout>
              <c:x val="3.4722222222222224E-2"/>
              <c:y val="-7.9072218245446593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2"/>
          </a:solidFill>
          <a:ln>
            <a:noFill/>
          </a:ln>
          <a:effectLst/>
        </c:spPr>
        <c:dLbl>
          <c:idx val="0"/>
          <c:layout>
            <c:manualLayout>
              <c:x val="3.2407407407407406E-2"/>
              <c:y val="-6.007665235027442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2"/>
          </a:solidFill>
          <a:ln>
            <a:noFill/>
          </a:ln>
          <a:effectLst/>
        </c:spPr>
        <c:dLbl>
          <c:idx val="0"/>
          <c:layout>
            <c:manualLayout>
              <c:x val="3.4722222222222224E-2"/>
              <c:y val="-7.9072218245446593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2"/>
          </a:solidFill>
          <a:ln>
            <a:noFill/>
          </a:ln>
          <a:effectLst/>
        </c:spPr>
        <c:dLbl>
          <c:idx val="0"/>
          <c:layout>
            <c:manualLayout>
              <c:x val="3.2407407407407406E-2"/>
              <c:y val="-6.007665235027442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2"/>
          </a:solidFill>
          <a:ln>
            <a:noFill/>
          </a:ln>
          <a:effectLst/>
        </c:spPr>
        <c:dLbl>
          <c:idx val="0"/>
          <c:layout>
            <c:manualLayout>
              <c:x val="3.4722222222222224E-2"/>
              <c:y val="-7.9072218245446593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barChart>
        <c:barDir val="col"/>
        <c:grouping val="stacked"/>
        <c:varyColors val="0"/>
        <c:ser>
          <c:idx val="0"/>
          <c:order val="0"/>
          <c:tx>
            <c:strRef>
              <c:f>'Pivot By Percentage '!$B$5:$B$6</c:f>
              <c:strCache>
                <c:ptCount val="1"/>
                <c:pt idx="0">
                  <c:v>Count of Outcomes</c:v>
                </c:pt>
              </c:strCache>
            </c:strRef>
          </c:tx>
          <c:spPr>
            <a:solidFill>
              <a:schemeClr val="accent1"/>
            </a:solidFill>
            <a:ln>
              <a:noFill/>
            </a:ln>
            <a:effectLst/>
          </c:spPr>
          <c:invertIfNegative val="0"/>
          <c:cat>
            <c:strRef>
              <c:f>'Pivot By Percentage '!$A$7:$A$28</c:f>
              <c:strCache>
                <c:ptCount val="21"/>
                <c:pt idx="0">
                  <c:v>plays</c:v>
                </c:pt>
                <c:pt idx="1">
                  <c:v>rock</c:v>
                </c:pt>
                <c:pt idx="2">
                  <c:v>documentary</c:v>
                </c:pt>
                <c:pt idx="3">
                  <c:v>indie rock</c:v>
                </c:pt>
                <c:pt idx="4">
                  <c:v>hardware</c:v>
                </c:pt>
                <c:pt idx="5">
                  <c:v>photobooks</c:v>
                </c:pt>
                <c:pt idx="6">
                  <c:v>spaces</c:v>
                </c:pt>
                <c:pt idx="7">
                  <c:v>tabletop games</c:v>
                </c:pt>
                <c:pt idx="8">
                  <c:v>shorts</c:v>
                </c:pt>
                <c:pt idx="9">
                  <c:v>television</c:v>
                </c:pt>
                <c:pt idx="10">
                  <c:v>nonfiction</c:v>
                </c:pt>
                <c:pt idx="11">
                  <c:v>musical</c:v>
                </c:pt>
                <c:pt idx="12">
                  <c:v>space exploration</c:v>
                </c:pt>
                <c:pt idx="13">
                  <c:v>pop</c:v>
                </c:pt>
                <c:pt idx="14">
                  <c:v>electronic music</c:v>
                </c:pt>
                <c:pt idx="15">
                  <c:v>classical music</c:v>
                </c:pt>
                <c:pt idx="16">
                  <c:v>small batch</c:v>
                </c:pt>
                <c:pt idx="17">
                  <c:v>radio &amp; podcasts</c:v>
                </c:pt>
                <c:pt idx="18">
                  <c:v>wearables</c:v>
                </c:pt>
                <c:pt idx="19">
                  <c:v>metal</c:v>
                </c:pt>
                <c:pt idx="20">
                  <c:v>makerspaces</c:v>
                </c:pt>
              </c:strCache>
            </c:strRef>
          </c:cat>
          <c:val>
            <c:numRef>
              <c:f>'Pivot By Percentage '!$B$7:$B$28</c:f>
              <c:numCache>
                <c:formatCode>General</c:formatCode>
                <c:ptCount val="21"/>
                <c:pt idx="0">
                  <c:v>694</c:v>
                </c:pt>
                <c:pt idx="1">
                  <c:v>260</c:v>
                </c:pt>
                <c:pt idx="2">
                  <c:v>180</c:v>
                </c:pt>
                <c:pt idx="3">
                  <c:v>140</c:v>
                </c:pt>
                <c:pt idx="4">
                  <c:v>140</c:v>
                </c:pt>
                <c:pt idx="5">
                  <c:v>103</c:v>
                </c:pt>
                <c:pt idx="6">
                  <c:v>85</c:v>
                </c:pt>
                <c:pt idx="7">
                  <c:v>80</c:v>
                </c:pt>
                <c:pt idx="8">
                  <c:v>60</c:v>
                </c:pt>
                <c:pt idx="9">
                  <c:v>60</c:v>
                </c:pt>
                <c:pt idx="10">
                  <c:v>60</c:v>
                </c:pt>
                <c:pt idx="11">
                  <c:v>60</c:v>
                </c:pt>
                <c:pt idx="12">
                  <c:v>40</c:v>
                </c:pt>
                <c:pt idx="13">
                  <c:v>40</c:v>
                </c:pt>
                <c:pt idx="14">
                  <c:v>40</c:v>
                </c:pt>
                <c:pt idx="15">
                  <c:v>40</c:v>
                </c:pt>
                <c:pt idx="16">
                  <c:v>34</c:v>
                </c:pt>
                <c:pt idx="17">
                  <c:v>20</c:v>
                </c:pt>
                <c:pt idx="18">
                  <c:v>20</c:v>
                </c:pt>
                <c:pt idx="19">
                  <c:v>20</c:v>
                </c:pt>
                <c:pt idx="20">
                  <c:v>9</c:v>
                </c:pt>
              </c:numCache>
            </c:numRef>
          </c:val>
          <c:extLst>
            <c:ext xmlns:c16="http://schemas.microsoft.com/office/drawing/2014/chart" uri="{C3380CC4-5D6E-409C-BE32-E72D297353CC}">
              <c16:uniqueId val="{00000000-F64A-41D2-9735-C6A623AF6A87}"/>
            </c:ext>
          </c:extLst>
        </c:ser>
        <c:ser>
          <c:idx val="1"/>
          <c:order val="1"/>
          <c:tx>
            <c:strRef>
              <c:f>'Pivot By Percentage '!$C$5:$C$6</c:f>
              <c:strCache>
                <c:ptCount val="1"/>
                <c:pt idx="0">
                  <c:v>Percent of Total</c:v>
                </c:pt>
              </c:strCache>
            </c:strRef>
          </c:tx>
          <c:spPr>
            <a:solidFill>
              <a:schemeClr val="accent2"/>
            </a:solidFill>
            <a:ln>
              <a:noFill/>
            </a:ln>
            <a:effectLst/>
          </c:spPr>
          <c:invertIfNegative val="0"/>
          <c:dLbls>
            <c:dLbl>
              <c:idx val="0"/>
              <c:layout>
                <c:manualLayout>
                  <c:x val="3.2407407407407406E-2"/>
                  <c:y val="-6.007665235027442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64A-41D2-9735-C6A623AF6A87}"/>
                </c:ext>
              </c:extLst>
            </c:dLbl>
            <c:dLbl>
              <c:idx val="1"/>
              <c:layout>
                <c:manualLayout>
                  <c:x val="3.4722222222222224E-2"/>
                  <c:y val="-7.907221824544659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64A-41D2-9735-C6A623AF6A8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'Pivot By Percentage '!$A$7:$A$28</c:f>
              <c:strCache>
                <c:ptCount val="21"/>
                <c:pt idx="0">
                  <c:v>plays</c:v>
                </c:pt>
                <c:pt idx="1">
                  <c:v>rock</c:v>
                </c:pt>
                <c:pt idx="2">
                  <c:v>documentary</c:v>
                </c:pt>
                <c:pt idx="3">
                  <c:v>indie rock</c:v>
                </c:pt>
                <c:pt idx="4">
                  <c:v>hardware</c:v>
                </c:pt>
                <c:pt idx="5">
                  <c:v>photobooks</c:v>
                </c:pt>
                <c:pt idx="6">
                  <c:v>spaces</c:v>
                </c:pt>
                <c:pt idx="7">
                  <c:v>tabletop games</c:v>
                </c:pt>
                <c:pt idx="8">
                  <c:v>shorts</c:v>
                </c:pt>
                <c:pt idx="9">
                  <c:v>television</c:v>
                </c:pt>
                <c:pt idx="10">
                  <c:v>nonfiction</c:v>
                </c:pt>
                <c:pt idx="11">
                  <c:v>musical</c:v>
                </c:pt>
                <c:pt idx="12">
                  <c:v>space exploration</c:v>
                </c:pt>
                <c:pt idx="13">
                  <c:v>pop</c:v>
                </c:pt>
                <c:pt idx="14">
                  <c:v>electronic music</c:v>
                </c:pt>
                <c:pt idx="15">
                  <c:v>classical music</c:v>
                </c:pt>
                <c:pt idx="16">
                  <c:v>small batch</c:v>
                </c:pt>
                <c:pt idx="17">
                  <c:v>radio &amp; podcasts</c:v>
                </c:pt>
                <c:pt idx="18">
                  <c:v>wearables</c:v>
                </c:pt>
                <c:pt idx="19">
                  <c:v>metal</c:v>
                </c:pt>
                <c:pt idx="20">
                  <c:v>makerspaces</c:v>
                </c:pt>
              </c:strCache>
            </c:strRef>
          </c:cat>
          <c:val>
            <c:numRef>
              <c:f>'Pivot By Percentage '!$C$7:$C$28</c:f>
              <c:numCache>
                <c:formatCode>0.00%</c:formatCode>
                <c:ptCount val="21"/>
                <c:pt idx="0">
                  <c:v>0.31762013729977118</c:v>
                </c:pt>
                <c:pt idx="1">
                  <c:v>0.11899313501144165</c:v>
                </c:pt>
                <c:pt idx="2">
                  <c:v>8.2379862700228831E-2</c:v>
                </c:pt>
                <c:pt idx="3">
                  <c:v>6.4073226544622428E-2</c:v>
                </c:pt>
                <c:pt idx="4">
                  <c:v>6.4073226544622428E-2</c:v>
                </c:pt>
                <c:pt idx="5">
                  <c:v>4.7139588100686497E-2</c:v>
                </c:pt>
                <c:pt idx="6">
                  <c:v>3.8901601830663615E-2</c:v>
                </c:pt>
                <c:pt idx="7">
                  <c:v>3.6613272311212815E-2</c:v>
                </c:pt>
                <c:pt idx="8">
                  <c:v>2.7459954233409609E-2</c:v>
                </c:pt>
                <c:pt idx="9">
                  <c:v>2.7459954233409609E-2</c:v>
                </c:pt>
                <c:pt idx="10">
                  <c:v>2.7459954233409609E-2</c:v>
                </c:pt>
                <c:pt idx="11">
                  <c:v>2.7459954233409609E-2</c:v>
                </c:pt>
                <c:pt idx="12">
                  <c:v>1.8306636155606407E-2</c:v>
                </c:pt>
                <c:pt idx="13">
                  <c:v>1.8306636155606407E-2</c:v>
                </c:pt>
                <c:pt idx="14">
                  <c:v>1.8306636155606407E-2</c:v>
                </c:pt>
                <c:pt idx="15">
                  <c:v>1.8306636155606407E-2</c:v>
                </c:pt>
                <c:pt idx="16">
                  <c:v>1.5560640732265447E-2</c:v>
                </c:pt>
                <c:pt idx="17">
                  <c:v>9.1533180778032037E-3</c:v>
                </c:pt>
                <c:pt idx="18">
                  <c:v>9.1533180778032037E-3</c:v>
                </c:pt>
                <c:pt idx="19">
                  <c:v>9.1533180778032037E-3</c:v>
                </c:pt>
                <c:pt idx="20">
                  <c:v>4.1189931350114417E-3</c:v>
                </c:pt>
              </c:numCache>
            </c:numRef>
          </c:val>
          <c:extLst>
            <c:ext xmlns:c16="http://schemas.microsoft.com/office/drawing/2014/chart" uri="{C3380CC4-5D6E-409C-BE32-E72D297353CC}">
              <c16:uniqueId val="{00000003-F64A-41D2-9735-C6A623AF6A87}"/>
            </c:ext>
          </c:extLst>
        </c:ser>
        <c:dLbls>
          <c:showLegendKey val="0"/>
          <c:showVal val="0"/>
          <c:showCatName val="0"/>
          <c:showSerName val="0"/>
          <c:showPercent val="0"/>
          <c:showBubbleSize val="0"/>
        </c:dLbls>
        <c:gapWidth val="150"/>
        <c:overlap val="100"/>
        <c:axId val="571884656"/>
        <c:axId val="571885968"/>
      </c:barChart>
      <c:catAx>
        <c:axId val="57188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85968"/>
        <c:crosses val="autoZero"/>
        <c:auto val="1"/>
        <c:lblAlgn val="ctr"/>
        <c:lblOffset val="100"/>
        <c:noMultiLvlLbl val="0"/>
      </c:catAx>
      <c:valAx>
        <c:axId val="57188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846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[Homework_1_Omar_Castillo.xlsx]Pivot Catergories by Percent!PivotTable1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 Rates by Categories</a:t>
            </a:r>
          </a:p>
        </c:rich>
      </c:tx>
      <c:layout>
        <c:manualLayout>
          <c:xMode val="edge"/>
          <c:yMode val="edge"/>
          <c:x val="0.28856486689163857"/>
          <c:y val="7.28188544481305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s>
    <c:plotArea>
      <c:layout/>
      <c:barChart>
        <c:barDir val="col"/>
        <c:grouping val="stacked"/>
        <c:varyColors val="0"/>
        <c:ser>
          <c:idx val="0"/>
          <c:order val="0"/>
          <c:tx>
            <c:strRef>
              <c:f>'Pivot Catergories by Percent'!$B$3:$B$4</c:f>
              <c:strCache>
                <c:ptCount val="1"/>
                <c:pt idx="0">
                  <c:v>successful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Catergories by Percent'!$A$5:$A$14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Catergories by Percent'!$B$5:$B$14</c:f>
              <c:numCache>
                <c:formatCode>0.00%</c:formatCode>
                <c:ptCount val="9"/>
                <c:pt idx="0">
                  <c:v>0.57692307692307687</c:v>
                </c:pt>
                <c:pt idx="1">
                  <c:v>0.17</c:v>
                </c:pt>
                <c:pt idx="2">
                  <c:v>0.36363636363636365</c:v>
                </c:pt>
                <c:pt idx="3">
                  <c:v>0</c:v>
                </c:pt>
                <c:pt idx="4">
                  <c:v>0.77142857142857146</c:v>
                </c:pt>
                <c:pt idx="5">
                  <c:v>0.4681818181818182</c:v>
                </c:pt>
                <c:pt idx="6">
                  <c:v>0.33755274261603374</c:v>
                </c:pt>
                <c:pt idx="7">
                  <c:v>0.34833333333333333</c:v>
                </c:pt>
                <c:pt idx="8">
                  <c:v>0.60229720028715006</c:v>
                </c:pt>
              </c:numCache>
            </c:numRef>
          </c:val>
          <c:extLst>
            <c:ext xmlns:c16="http://schemas.microsoft.com/office/drawing/2014/chart" uri="{C3380CC4-5D6E-409C-BE32-E72D297353CC}">
              <c16:uniqueId val="{00000000-9A6A-4F9C-A690-40D1C90BA5DE}"/>
            </c:ext>
          </c:extLst>
        </c:ser>
        <c:ser>
          <c:idx val="1"/>
          <c:order val="1"/>
          <c:tx>
            <c:strRef>
              <c:f>'Pivot Catergories by Percent'!$C$3:$C$4</c:f>
              <c:strCache>
                <c:ptCount val="1"/>
                <c:pt idx="0">
                  <c:v>failed</c:v>
                </c:pt>
              </c:strCache>
            </c:strRef>
          </c:tx>
          <c:spPr>
            <a:solidFill>
              <a:schemeClr val="accent2"/>
            </a:solidFill>
            <a:ln>
              <a:noFill/>
            </a:ln>
            <a:effectLst/>
          </c:spPr>
          <c:invertIfNegative val="0"/>
          <c:cat>
            <c:strRef>
              <c:f>'Pivot Catergories by Percent'!$A$5:$A$14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Catergories by Percent'!$C$5:$C$14</c:f>
              <c:numCache>
                <c:formatCode>0.00%</c:formatCode>
                <c:ptCount val="9"/>
                <c:pt idx="0">
                  <c:v>0.34615384615384615</c:v>
                </c:pt>
                <c:pt idx="1">
                  <c:v>0.7</c:v>
                </c:pt>
                <c:pt idx="2">
                  <c:v>0.63636363636363635</c:v>
                </c:pt>
                <c:pt idx="3">
                  <c:v>0</c:v>
                </c:pt>
                <c:pt idx="4">
                  <c:v>0.17142857142857143</c:v>
                </c:pt>
                <c:pt idx="5">
                  <c:v>0.53181818181818186</c:v>
                </c:pt>
                <c:pt idx="6">
                  <c:v>0.53586497890295359</c:v>
                </c:pt>
                <c:pt idx="7">
                  <c:v>0.35499999999999998</c:v>
                </c:pt>
                <c:pt idx="8">
                  <c:v>0.35391241923905242</c:v>
                </c:pt>
              </c:numCache>
            </c:numRef>
          </c:val>
          <c:extLst>
            <c:ext xmlns:c16="http://schemas.microsoft.com/office/drawing/2014/chart" uri="{C3380CC4-5D6E-409C-BE32-E72D297353CC}">
              <c16:uniqueId val="{00000001-9A6A-4F9C-A690-40D1C90BA5DE}"/>
            </c:ext>
          </c:extLst>
        </c:ser>
        <c:ser>
          <c:idx val="2"/>
          <c:order val="2"/>
          <c:tx>
            <c:strRef>
              <c:f>'Pivot Catergories by Percent'!$D$3:$D$4</c:f>
              <c:strCache>
                <c:ptCount val="1"/>
                <c:pt idx="0">
                  <c:v>canceled</c:v>
                </c:pt>
              </c:strCache>
            </c:strRef>
          </c:tx>
          <c:spPr>
            <a:solidFill>
              <a:schemeClr val="accent3"/>
            </a:solidFill>
            <a:ln>
              <a:noFill/>
            </a:ln>
            <a:effectLst/>
          </c:spPr>
          <c:invertIfNegative val="0"/>
          <c:cat>
            <c:strRef>
              <c:f>'Pivot Catergories by Percent'!$A$5:$A$14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Catergories by Percent'!$D$5:$D$14</c:f>
              <c:numCache>
                <c:formatCode>0.00%</c:formatCode>
                <c:ptCount val="9"/>
                <c:pt idx="0">
                  <c:v>7.6923076923076927E-2</c:v>
                </c:pt>
                <c:pt idx="1">
                  <c:v>0.1</c:v>
                </c:pt>
                <c:pt idx="2">
                  <c:v>0</c:v>
                </c:pt>
                <c:pt idx="3">
                  <c:v>1</c:v>
                </c:pt>
                <c:pt idx="4">
                  <c:v>2.8571428571428571E-2</c:v>
                </c:pt>
                <c:pt idx="5">
                  <c:v>0</c:v>
                </c:pt>
                <c:pt idx="6">
                  <c:v>0.12658227848101267</c:v>
                </c:pt>
                <c:pt idx="7">
                  <c:v>0.29666666666666669</c:v>
                </c:pt>
                <c:pt idx="8">
                  <c:v>2.6561378320172292E-2</c:v>
                </c:pt>
              </c:numCache>
            </c:numRef>
          </c:val>
          <c:extLst>
            <c:ext xmlns:c16="http://schemas.microsoft.com/office/drawing/2014/chart" uri="{C3380CC4-5D6E-409C-BE32-E72D297353CC}">
              <c16:uniqueId val="{00000002-9A6A-4F9C-A690-40D1C90BA5DE}"/>
            </c:ext>
          </c:extLst>
        </c:ser>
        <c:ser>
          <c:idx val="3"/>
          <c:order val="3"/>
          <c:tx>
            <c:strRef>
              <c:f>'Pivot Catergories by Percent'!$E$3:$E$4</c:f>
              <c:strCache>
                <c:ptCount val="1"/>
                <c:pt idx="0">
                  <c:v>live</c:v>
                </c:pt>
              </c:strCache>
            </c:strRef>
          </c:tx>
          <c:spPr>
            <a:solidFill>
              <a:schemeClr val="accent4"/>
            </a:solidFill>
            <a:ln>
              <a:noFill/>
            </a:ln>
            <a:effectLst/>
          </c:spPr>
          <c:invertIfNegative val="0"/>
          <c:cat>
            <c:strRef>
              <c:f>'Pivot Catergories by Percent'!$A$5:$A$14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Catergories by Percent'!$E$5:$E$14</c:f>
              <c:numCache>
                <c:formatCode>0.00%</c:formatCode>
                <c:ptCount val="9"/>
                <c:pt idx="0">
                  <c:v>0</c:v>
                </c:pt>
                <c:pt idx="1">
                  <c:v>0.03</c:v>
                </c:pt>
                <c:pt idx="2">
                  <c:v>0</c:v>
                </c:pt>
                <c:pt idx="3">
                  <c:v>0</c:v>
                </c:pt>
                <c:pt idx="4">
                  <c:v>2.8571428571428571E-2</c:v>
                </c:pt>
                <c:pt idx="5">
                  <c:v>0</c:v>
                </c:pt>
                <c:pt idx="6">
                  <c:v>0</c:v>
                </c:pt>
                <c:pt idx="7">
                  <c:v>0</c:v>
                </c:pt>
                <c:pt idx="8">
                  <c:v>1.7229002153625269E-2</c:v>
                </c:pt>
              </c:numCache>
            </c:numRef>
          </c:val>
          <c:extLst>
            <c:ext xmlns:c16="http://schemas.microsoft.com/office/drawing/2014/chart" uri="{C3380CC4-5D6E-409C-BE32-E72D297353CC}">
              <c16:uniqueId val="{00000003-9A6A-4F9C-A690-40D1C90BA5DE}"/>
            </c:ext>
          </c:extLst>
        </c:ser>
        <c:dLbls>
          <c:showLegendKey val="0"/>
          <c:showVal val="0"/>
          <c:showCatName val="0"/>
          <c:showSerName val="0"/>
          <c:showPercent val="0"/>
          <c:showBubbleSize val="0"/>
        </c:dLbls>
        <c:gapWidth val="150"/>
        <c:overlap val="100"/>
        <c:axId val="508210272"/>
        <c:axId val="508210600"/>
      </c:barChart>
      <c:catAx>
        <c:axId val="50821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10600"/>
        <c:crosses val="autoZero"/>
        <c:auto val="1"/>
        <c:lblAlgn val="ctr"/>
        <c:lblOffset val="100"/>
        <c:noMultiLvlLbl val="0"/>
      </c:catAx>
      <c:valAx>
        <c:axId val="508210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10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Outcomes Based on Goal</a:t>
            </a:r>
          </a:p>
        </c:rich>
      </c:tx>
      <c:layout>
        <c:manualLayout>
          <c:xMode val="edge"/>
          <c:yMode val="edge"/>
          <c:x val="0.4067152230971128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4"/>
          <c:order val="4"/>
          <c:tx>
            <c:strRef>
              <c:f>Bonus!$G$2</c:f>
              <c:strCache>
                <c:ptCount val="1"/>
                <c:pt idx="0">
                  <c:v>Percentage Successful</c:v>
                </c:pt>
              </c:strCache>
            </c:strRef>
          </c:tx>
          <c:spPr>
            <a:ln w="28575" cap="rnd">
              <a:solidFill>
                <a:schemeClr val="accent5"/>
              </a:solidFill>
              <a:round/>
            </a:ln>
            <a:effectLst/>
          </c:spPr>
          <c:marker>
            <c:symbol val="none"/>
          </c:marker>
          <c:cat>
            <c:strRef>
              <c:f>Bonus!$B$3:$B$14</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Bonus!$G$3:$G$14</c:f>
              <c:numCache>
                <c:formatCode>0%</c:formatCode>
                <c:ptCount val="12"/>
                <c:pt idx="0">
                  <c:v>0.71081677704194257</c:v>
                </c:pt>
                <c:pt idx="1">
                  <c:v>0.66005665722379603</c:v>
                </c:pt>
                <c:pt idx="2">
                  <c:v>0.53212290502793291</c:v>
                </c:pt>
                <c:pt idx="3">
                  <c:v>0.47727272727272729</c:v>
                </c:pt>
                <c:pt idx="4">
                  <c:v>0.46766169154228854</c:v>
                </c:pt>
                <c:pt idx="5">
                  <c:v>0.41891891891891891</c:v>
                </c:pt>
                <c:pt idx="6">
                  <c:v>0.40145985401459855</c:v>
                </c:pt>
                <c:pt idx="7">
                  <c:v>0.3902439024390244</c:v>
                </c:pt>
                <c:pt idx="8">
                  <c:v>0.47272727272727272</c:v>
                </c:pt>
                <c:pt idx="9">
                  <c:v>0.48837209302325579</c:v>
                </c:pt>
                <c:pt idx="10">
                  <c:v>0.2857142857142857</c:v>
                </c:pt>
                <c:pt idx="11">
                  <c:v>0.19369369369369369</c:v>
                </c:pt>
              </c:numCache>
            </c:numRef>
          </c:val>
          <c:smooth val="0"/>
          <c:extLst>
            <c:ext xmlns:c16="http://schemas.microsoft.com/office/drawing/2014/chart" uri="{C3380CC4-5D6E-409C-BE32-E72D297353CC}">
              <c16:uniqueId val="{00000000-DDC6-45A2-B0FB-D76D706DD94C}"/>
            </c:ext>
          </c:extLst>
        </c:ser>
        <c:ser>
          <c:idx val="5"/>
          <c:order val="5"/>
          <c:tx>
            <c:strRef>
              <c:f>Bonus!$H$2</c:f>
              <c:strCache>
                <c:ptCount val="1"/>
                <c:pt idx="0">
                  <c:v>Percentage Failed</c:v>
                </c:pt>
              </c:strCache>
            </c:strRef>
          </c:tx>
          <c:spPr>
            <a:ln w="28575" cap="rnd">
              <a:solidFill>
                <a:schemeClr val="accent6"/>
              </a:solidFill>
              <a:round/>
            </a:ln>
            <a:effectLst/>
          </c:spPr>
          <c:marker>
            <c:symbol val="none"/>
          </c:marker>
          <c:cat>
            <c:strRef>
              <c:f>Bonus!$B$3:$B$14</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Bonus!$H$3:$H$14</c:f>
              <c:numCache>
                <c:formatCode>0%</c:formatCode>
                <c:ptCount val="12"/>
                <c:pt idx="0">
                  <c:v>0.24944812362030905</c:v>
                </c:pt>
                <c:pt idx="1">
                  <c:v>0.29745042492917845</c:v>
                </c:pt>
                <c:pt idx="2">
                  <c:v>0.39525139664804471</c:v>
                </c:pt>
                <c:pt idx="3">
                  <c:v>0.40909090909090912</c:v>
                </c:pt>
                <c:pt idx="4">
                  <c:v>0.44776119402985076</c:v>
                </c:pt>
                <c:pt idx="5">
                  <c:v>0.48648648648648651</c:v>
                </c:pt>
                <c:pt idx="6">
                  <c:v>0.46715328467153283</c:v>
                </c:pt>
                <c:pt idx="7">
                  <c:v>0.45121951219512196</c:v>
                </c:pt>
                <c:pt idx="8">
                  <c:v>0.4</c:v>
                </c:pt>
                <c:pt idx="9">
                  <c:v>0.37209302325581395</c:v>
                </c:pt>
                <c:pt idx="10">
                  <c:v>0.52380952380952384</c:v>
                </c:pt>
                <c:pt idx="11">
                  <c:v>0.58108108108108103</c:v>
                </c:pt>
              </c:numCache>
            </c:numRef>
          </c:val>
          <c:smooth val="0"/>
          <c:extLst>
            <c:ext xmlns:c16="http://schemas.microsoft.com/office/drawing/2014/chart" uri="{C3380CC4-5D6E-409C-BE32-E72D297353CC}">
              <c16:uniqueId val="{00000001-DDC6-45A2-B0FB-D76D706DD94C}"/>
            </c:ext>
          </c:extLst>
        </c:ser>
        <c:ser>
          <c:idx val="6"/>
          <c:order val="6"/>
          <c:tx>
            <c:strRef>
              <c:f>Bonus!$I$2</c:f>
              <c:strCache>
                <c:ptCount val="1"/>
                <c:pt idx="0">
                  <c:v>Percentage Canceled</c:v>
                </c:pt>
              </c:strCache>
            </c:strRef>
          </c:tx>
          <c:spPr>
            <a:ln w="28575" cap="rnd">
              <a:solidFill>
                <a:schemeClr val="accent1">
                  <a:lumMod val="60000"/>
                </a:schemeClr>
              </a:solidFill>
              <a:round/>
            </a:ln>
            <a:effectLst/>
          </c:spPr>
          <c:marker>
            <c:symbol val="none"/>
          </c:marker>
          <c:cat>
            <c:strRef>
              <c:f>Bonus!$B$3:$B$14</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Bonus!$I$3:$I$14</c:f>
              <c:numCache>
                <c:formatCode>0%</c:formatCode>
                <c:ptCount val="12"/>
                <c:pt idx="0">
                  <c:v>3.9735099337748346E-2</c:v>
                </c:pt>
                <c:pt idx="1">
                  <c:v>4.2492917847025496E-2</c:v>
                </c:pt>
                <c:pt idx="2">
                  <c:v>7.2625698324022353E-2</c:v>
                </c:pt>
                <c:pt idx="3">
                  <c:v>0.11363636363636363</c:v>
                </c:pt>
                <c:pt idx="4">
                  <c:v>8.45771144278607E-2</c:v>
                </c:pt>
                <c:pt idx="5">
                  <c:v>9.45945945945946E-2</c:v>
                </c:pt>
                <c:pt idx="6">
                  <c:v>0.13138686131386862</c:v>
                </c:pt>
                <c:pt idx="7">
                  <c:v>0.15853658536585366</c:v>
                </c:pt>
                <c:pt idx="8">
                  <c:v>0.12727272727272726</c:v>
                </c:pt>
                <c:pt idx="9">
                  <c:v>0.13953488372093023</c:v>
                </c:pt>
                <c:pt idx="10">
                  <c:v>0.19047619047619047</c:v>
                </c:pt>
                <c:pt idx="11">
                  <c:v>0.22522522522522523</c:v>
                </c:pt>
              </c:numCache>
            </c:numRef>
          </c:val>
          <c:smooth val="0"/>
          <c:extLst>
            <c:ext xmlns:c16="http://schemas.microsoft.com/office/drawing/2014/chart" uri="{C3380CC4-5D6E-409C-BE32-E72D297353CC}">
              <c16:uniqueId val="{00000002-DDC6-45A2-B0FB-D76D706DD94C}"/>
            </c:ext>
          </c:extLst>
        </c:ser>
        <c:dLbls>
          <c:showLegendKey val="0"/>
          <c:showVal val="0"/>
          <c:showCatName val="0"/>
          <c:showSerName val="0"/>
          <c:showPercent val="0"/>
          <c:showBubbleSize val="0"/>
        </c:dLbls>
        <c:smooth val="0"/>
        <c:axId val="598982960"/>
        <c:axId val="598983944"/>
        <c:extLst>
          <c:ext xmlns:c15="http://schemas.microsoft.com/office/drawing/2012/chart" uri="{02D57815-91ED-43cb-92C2-25804820EDAC}">
            <c15:filteredLineSeries>
              <c15:ser>
                <c:idx val="0"/>
                <c:order val="0"/>
                <c:tx>
                  <c:strRef>
                    <c:extLst>
                      <c:ext uri="{02D57815-91ED-43cb-92C2-25804820EDAC}">
                        <c15:formulaRef>
                          <c15:sqref>Bonus!$C$2</c15:sqref>
                        </c15:formulaRef>
                      </c:ext>
                    </c:extLst>
                    <c:strCache>
                      <c:ptCount val="1"/>
                      <c:pt idx="0">
                        <c:v>Number Successful</c:v>
                      </c:pt>
                    </c:strCache>
                  </c:strRef>
                </c:tx>
                <c:spPr>
                  <a:ln w="28575" cap="rnd">
                    <a:solidFill>
                      <a:schemeClr val="accent1"/>
                    </a:solidFill>
                    <a:round/>
                  </a:ln>
                  <a:effectLst/>
                </c:spPr>
                <c:marker>
                  <c:symbol val="none"/>
                </c:marker>
                <c:cat>
                  <c:strRef>
                    <c:extLst>
                      <c:ext uri="{02D57815-91ED-43cb-92C2-25804820EDAC}">
                        <c15:formulaRef>
                          <c15:sqref>Bonus!$B$3:$B$14</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c:ext uri="{02D57815-91ED-43cb-92C2-25804820EDAC}">
                        <c15:formulaRef>
                          <c15:sqref>Bonus!$C$3:$C$14</c15:sqref>
                        </c15:formulaRef>
                      </c:ext>
                    </c:extLst>
                    <c:numCache>
                      <c:formatCode>General</c:formatCode>
                      <c:ptCount val="12"/>
                      <c:pt idx="0">
                        <c:v>322</c:v>
                      </c:pt>
                      <c:pt idx="1">
                        <c:v>932</c:v>
                      </c:pt>
                      <c:pt idx="2">
                        <c:v>381</c:v>
                      </c:pt>
                      <c:pt idx="3">
                        <c:v>168</c:v>
                      </c:pt>
                      <c:pt idx="4">
                        <c:v>94</c:v>
                      </c:pt>
                      <c:pt idx="5">
                        <c:v>62</c:v>
                      </c:pt>
                      <c:pt idx="6">
                        <c:v>55</c:v>
                      </c:pt>
                      <c:pt idx="7">
                        <c:v>32</c:v>
                      </c:pt>
                      <c:pt idx="8">
                        <c:v>26</c:v>
                      </c:pt>
                      <c:pt idx="9">
                        <c:v>21</c:v>
                      </c:pt>
                      <c:pt idx="10">
                        <c:v>6</c:v>
                      </c:pt>
                      <c:pt idx="11">
                        <c:v>86</c:v>
                      </c:pt>
                    </c:numCache>
                  </c:numRef>
                </c:val>
                <c:smooth val="0"/>
                <c:extLst>
                  <c:ext xmlns:c16="http://schemas.microsoft.com/office/drawing/2014/chart" uri="{C3380CC4-5D6E-409C-BE32-E72D297353CC}">
                    <c16:uniqueId val="{00000003-DDC6-45A2-B0FB-D76D706DD94C}"/>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Bonus!$D$2</c15:sqref>
                        </c15:formulaRef>
                      </c:ext>
                    </c:extLst>
                    <c:strCache>
                      <c:ptCount val="1"/>
                      <c:pt idx="0">
                        <c:v>Number Failed</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Bonus!$B$3:$B$14</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Bonus!$D$3:$D$14</c15:sqref>
                        </c15:formulaRef>
                      </c:ext>
                    </c:extLst>
                    <c:numCache>
                      <c:formatCode>General</c:formatCode>
                      <c:ptCount val="12"/>
                      <c:pt idx="0">
                        <c:v>113</c:v>
                      </c:pt>
                      <c:pt idx="1">
                        <c:v>420</c:v>
                      </c:pt>
                      <c:pt idx="2">
                        <c:v>283</c:v>
                      </c:pt>
                      <c:pt idx="3">
                        <c:v>144</c:v>
                      </c:pt>
                      <c:pt idx="4">
                        <c:v>90</c:v>
                      </c:pt>
                      <c:pt idx="5">
                        <c:v>72</c:v>
                      </c:pt>
                      <c:pt idx="6">
                        <c:v>64</c:v>
                      </c:pt>
                      <c:pt idx="7">
                        <c:v>37</c:v>
                      </c:pt>
                      <c:pt idx="8">
                        <c:v>22</c:v>
                      </c:pt>
                      <c:pt idx="9">
                        <c:v>16</c:v>
                      </c:pt>
                      <c:pt idx="10">
                        <c:v>11</c:v>
                      </c:pt>
                      <c:pt idx="11">
                        <c:v>258</c:v>
                      </c:pt>
                    </c:numCache>
                  </c:numRef>
                </c:val>
                <c:smooth val="0"/>
                <c:extLst xmlns:c15="http://schemas.microsoft.com/office/drawing/2012/chart">
                  <c:ext xmlns:c16="http://schemas.microsoft.com/office/drawing/2014/chart" uri="{C3380CC4-5D6E-409C-BE32-E72D297353CC}">
                    <c16:uniqueId val="{00000004-DDC6-45A2-B0FB-D76D706DD94C}"/>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Bonus!$E$2</c15:sqref>
                        </c15:formulaRef>
                      </c:ext>
                    </c:extLst>
                    <c:strCache>
                      <c:ptCount val="1"/>
                      <c:pt idx="0">
                        <c:v>Number Canceled</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Bonus!$B$3:$B$14</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Bonus!$E$3:$E$14</c15:sqref>
                        </c15:formulaRef>
                      </c:ext>
                    </c:extLst>
                    <c:numCache>
                      <c:formatCode>General</c:formatCode>
                      <c:ptCount val="12"/>
                      <c:pt idx="0">
                        <c:v>18</c:v>
                      </c:pt>
                      <c:pt idx="1">
                        <c:v>60</c:v>
                      </c:pt>
                      <c:pt idx="2">
                        <c:v>52</c:v>
                      </c:pt>
                      <c:pt idx="3">
                        <c:v>40</c:v>
                      </c:pt>
                      <c:pt idx="4">
                        <c:v>17</c:v>
                      </c:pt>
                      <c:pt idx="5">
                        <c:v>14</c:v>
                      </c:pt>
                      <c:pt idx="6">
                        <c:v>18</c:v>
                      </c:pt>
                      <c:pt idx="7">
                        <c:v>13</c:v>
                      </c:pt>
                      <c:pt idx="8">
                        <c:v>7</c:v>
                      </c:pt>
                      <c:pt idx="9">
                        <c:v>6</c:v>
                      </c:pt>
                      <c:pt idx="10">
                        <c:v>4</c:v>
                      </c:pt>
                      <c:pt idx="11">
                        <c:v>100</c:v>
                      </c:pt>
                    </c:numCache>
                  </c:numRef>
                </c:val>
                <c:smooth val="0"/>
                <c:extLst xmlns:c15="http://schemas.microsoft.com/office/drawing/2012/chart">
                  <c:ext xmlns:c16="http://schemas.microsoft.com/office/drawing/2014/chart" uri="{C3380CC4-5D6E-409C-BE32-E72D297353CC}">
                    <c16:uniqueId val="{00000005-DDC6-45A2-B0FB-D76D706DD94C}"/>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Bonus!$F$2</c15:sqref>
                        </c15:formulaRef>
                      </c:ext>
                    </c:extLst>
                    <c:strCache>
                      <c:ptCount val="1"/>
                      <c:pt idx="0">
                        <c:v>Total Projects</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Bonus!$B$3:$B$14</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Bonus!$F$3:$F$14</c15:sqref>
                        </c15:formulaRef>
                      </c:ext>
                    </c:extLst>
                    <c:numCache>
                      <c:formatCode>General</c:formatCode>
                      <c:ptCount val="12"/>
                      <c:pt idx="0">
                        <c:v>453</c:v>
                      </c:pt>
                      <c:pt idx="1">
                        <c:v>1412</c:v>
                      </c:pt>
                      <c:pt idx="2">
                        <c:v>716</c:v>
                      </c:pt>
                      <c:pt idx="3">
                        <c:v>352</c:v>
                      </c:pt>
                      <c:pt idx="4">
                        <c:v>201</c:v>
                      </c:pt>
                      <c:pt idx="5">
                        <c:v>148</c:v>
                      </c:pt>
                      <c:pt idx="6">
                        <c:v>137</c:v>
                      </c:pt>
                      <c:pt idx="7">
                        <c:v>82</c:v>
                      </c:pt>
                      <c:pt idx="8">
                        <c:v>55</c:v>
                      </c:pt>
                      <c:pt idx="9">
                        <c:v>43</c:v>
                      </c:pt>
                      <c:pt idx="10">
                        <c:v>21</c:v>
                      </c:pt>
                      <c:pt idx="11">
                        <c:v>444</c:v>
                      </c:pt>
                    </c:numCache>
                  </c:numRef>
                </c:val>
                <c:smooth val="0"/>
                <c:extLst xmlns:c15="http://schemas.microsoft.com/office/drawing/2012/chart">
                  <c:ext xmlns:c16="http://schemas.microsoft.com/office/drawing/2014/chart" uri="{C3380CC4-5D6E-409C-BE32-E72D297353CC}">
                    <c16:uniqueId val="{00000006-DDC6-45A2-B0FB-D76D706DD94C}"/>
                  </c:ext>
                </c:extLst>
              </c15:ser>
            </c15:filteredLineSeries>
          </c:ext>
        </c:extLst>
      </c:lineChart>
      <c:catAx>
        <c:axId val="59898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983944"/>
        <c:crosses val="autoZero"/>
        <c:auto val="1"/>
        <c:lblAlgn val="ctr"/>
        <c:lblOffset val="100"/>
        <c:noMultiLvlLbl val="0"/>
      </c:catAx>
      <c:valAx>
        <c:axId val="598983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98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2472</TotalTime>
  <Pages>3</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Castillo, Omar X</dc:creator>
  <cp:keywords/>
  <dc:description/>
  <cp:lastModifiedBy>Castillo, Omar X</cp:lastModifiedBy>
  <cp:revision>2</cp:revision>
  <dcterms:created xsi:type="dcterms:W3CDTF">2019-02-09T00:36:00Z</dcterms:created>
  <dcterms:modified xsi:type="dcterms:W3CDTF">2019-02-10T21:32:00Z</dcterms:modified>
</cp:coreProperties>
</file>