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Biostat Challenge Competition</w:t>
      </w:r>
    </w:p>
    <w:p>
      <w:pPr>
        <w:pStyle w:val="Normal"/>
      </w:pPr>
      <w:r>
        <w:t xml:space="preserve">The sample of investigation consisted of 120 subjects; the intervention group included 53 subjects, and the control group included 67. The mean age of the sample was 55.4 years, with a standard deviation = 12.1. Females represented 42% (n = 50) of the sample. Thirty-one individuals (25.8%) developed complications among the sample. More details are presented in Table 1.
As shown in Table 2 and Figure 1, the intervention group showed a significantly shorter duration of hospital stay compared with the control group (p-value &lt; 0.001) using the Mann-Whitney U test (Wilcoxon rank-sum test). Both groups had no statistically significant difference regarding the development of complications when compared using Chi-square (p-value=0.18), as illustrated in Table 3.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2026-03-09T05:54:31Z</dcterms:modified>
  <cp:category/>
</cp:coreProperties>
</file>