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Biostat Challenge Competition</w:t>
      </w:r>
    </w:p>
    <w:p>
      <w:pPr>
        <w:pStyle w:val="Titre2"/>
      </w:pPr>
      <w:r>
        <w:t xml:space="preserve">Table1. Properties and descriptives of the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2098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55.39 (12.09)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(58%)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(44%)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(56%)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Duration of Hospital Stay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 (5.00 - 8.00)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Complications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(26%)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(%); Median (Q1 - Q3)</w:t>
            </w:r>
          </w:p>
        </w:tc>
      </w:tr>
    </w:tbl>
    <w:p>
      <w:pPr>
        <w:pStyle w:val="Titre2"/>
      </w:pPr>
      <w:r>
        <w:t xml:space="preserve">Table2. The duration of hospital stay among the two groups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1792"/>
        <w:gridCol w:w="1315"/>
        <w:gridCol w:w="1347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Duration of Hospital Stay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(4 - 6)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(6 - 9)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&lt;0.001***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(Q1 - Q3)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pPr>
        <w:pStyle w:val="Titre2"/>
      </w:pPr>
      <w:r>
        <w:t xml:space="preserve">Table3. The association between the study group and developing complications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792"/>
        <w:gridCol w:w="1315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Complications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(31%)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2026-03-09T05:54:31Z</dcterms:modified>
  <cp:category/>
</cp:coreProperties>
</file>