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Sauce &amp; Spoon Tablet Rollout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left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24/05/25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would like to launch a pilot rollout of tabletop menu tablets at two of our locations, Sauce &amp; Spoon North and Sauce &amp; Spoon Downtown. That way, guests can place their orders on the tablets as soon as they arrive at the restaurant, rather than waiting for a server to attend to them, which has been an issue in the past.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Raise average check total from $65 to $75 by boosting appetizer and specialty drink sales by 15% overall (20% at Downtown, 10% at North) by September 2025.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average table turn time by 30 minutes to boost daily average guest counts by 10% by September 2025.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Lower employee burnout and turnover rates by 15% by December 2025 through streamlined service and reduced table demands.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the number of negative reviews by 20% by December 2025, measured through online feedback and in-store surveys.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Decrease food waste by 25% by September 2025 by using data from the tablets to better align food preparation with demand.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Tablets are installed and operational in the bar areas of the two locations.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Metrics and data collection points were established to track check totals, table turn times, customer feedback, and food waste.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Staff training on tablet use and upselling strategies.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Installation and configuration of tablets in the bar areas.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Staff training for tablet use and upselling techniques.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Data collection and analysis of key metrics.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Rollout to other restaurant locations beyond North and Downtown.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Updates to kitchen or food preparation processes unrelated to data-driven adjustments.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Higher average check totals and improved revenue.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Faster table turns and more guests served daily.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Improved staff morale through easier order management.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Reduced food waste and environmental impact.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Better customer satisfaction and loyalty.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Initial investment in tablet hardware and software.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Staff training and onboarding.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Ongoing maintenance and software support.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Misalignments and Resolutions: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Misalignment 1:Reallocate Payroll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Resolution: TBD at a later date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acific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