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7892C460"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Arabe : Bonne maîtrise à l’écrit et à l'oral. </w:t>
      </w:r>
    </w:p>
    <w:p w14:paraId="318489D1"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Français : Bonne maîtrise à l’écrit et à l'oral. </w:t>
      </w:r>
    </w:p>
    <w:p w14:paraId="44A7E2FA" w14:textId="77777777" w:rsidR="005B57FD" w:rsidRDefault="00000000">
      <w:pPr>
        <w:tabs>
          <w:tab w:val="left" w:pos="9356"/>
        </w:tabs>
        <w:spacing w:after="240"/>
        <w:jc w:val="both"/>
        <w:rPr>
          <w:rFonts w:ascii="Montserrat" w:eastAsia="Montserrat" w:hAnsi="Montserrat" w:cs="Montserrat"/>
          <w:sz w:val="18"/>
          <w:szCs w:val="18"/>
        </w:rPr>
      </w:pPr>
      <w:r>
        <w:rPr>
          <w:rFonts w:ascii="Montserrat" w:eastAsia="Montserrat" w:hAnsi="Montserrat" w:cs="Montserrat"/>
          <w:sz w:val="18"/>
          <w:szCs w:val="18"/>
        </w:rPr>
        <w:t>Anglais : Bonne maîtrise à l’écrit et à l'oral.</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t>Yasmine Goubantini</w:t>
        <w:tab/>
        <w:t xml:space="preserve">Signature </w:t>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