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>Branch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OPCODE :: 8 Bits , Offset :: 8 Bits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Instructions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OPCODE(Binary)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BR (Branch unconditionally)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10100 000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BEQ (Branch if equal)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10100 001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BNE (Branch if not equal)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10100 010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BLO (Branch if Lower)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10100 011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BLS (Branch if Lower or same)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10100 100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BHI (Branch if Higher)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10100 101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BHS (Branch if Higher or same)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10100 110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 operand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OPCODE :: 5 Bits and 11 don’t care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Instructions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OPCODE(Binary)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HLT (Halt)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1110 0 00000000000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NOP (No Operation)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1110 1 00000000000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 Sub-Routine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OPCODE :: 6 Bits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Instructions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OPCODE(Binary)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JSR (Jump to subroutine) 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1111 00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RTS (Return from subroutine)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1111 01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INTERRUPT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1111 10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IRET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1111 11</w:t>
            </w:r>
          </w:p>
        </w:tc>
      </w:tr>
    </w:tbl>
    <w:p>
      <w:pPr>
        <w:pStyle w:val="2"/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F7181"/>
    <w:rsid w:val="67366BF7"/>
    <w:rsid w:val="704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2019-11-25T20:43:00Z</dcterms:created>
  <dc:creator>amrah</dc:creator>
  <cp:lastModifiedBy>google1571842317</cp:lastModifiedBy>
  <dcterms:modified xsi:type="dcterms:W3CDTF">2019-11-25T23:55:07Z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