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6"/>
          <w:szCs w:val="36"/>
        </w:rPr>
        <w:t xml:space="preserve">Section 11: Frontend Presentation Layer</w:t>
      </w:r>
    </w:p>
    <w:p>
      <w:pPr>
        <w:jc w:val="center"/>
      </w:pPr>
      <w:r>
        <w:rPr>
          <w:i/>
          <w:iCs/>
          <w:color w:val="6B7280"/>
          <w:sz w:val="24"/>
          <w:szCs w:val="24"/>
        </w:rPr>
        <w:t xml:space="preserve">Multi-Channel User Interface Architecture</w:t>
      </w:r>
    </w:p>
    <w:p/>
    <w:p>
      <w:r>
        <w:rPr>
          <w:sz w:val="22"/>
          <w:szCs w:val="22"/>
        </w:rPr>
        <w:t xml:space="preserve">The RAG agent's value proposition is only realized through effective user interfaces that seamlessly integrate into the existing ITSM workflow. This section details a dual-channel frontend strategy: a web-based chat interface that mirrors the familiar BMC Helix design language, and a Microsoft Teams bot that extends the agent's reach into the organization's collaboration platform.</w:t>
      </w:r>
    </w:p>
    <w:p/>
    <w:p>
      <w:pPr>
        <w:pStyle w:val="Heading2"/>
      </w:pPr>
      <w:r>
        <w:t xml:space="preserve">11.1 Architectural Overview: The Interface Gateway</w:t>
      </w:r>
    </w:p>
    <w:p>
      <w:r>
        <w:rPr>
          <w:sz w:val="22"/>
          <w:szCs w:val="22"/>
        </w:rPr>
        <w:t xml:space="preserve">The frontend layer acts as a "Gateway" between human support agents and the AI-powered RAG core. Unlike traditional request-response web applications, the chat interface demands persistent, bidirectional communication to stream AI responses in real-time—a fundamental requirement for user experience parity with modern conversational AI systems.</w:t>
      </w:r>
    </w:p>
    <w:p/>
    <w:p>
      <w:r>
        <w:rPr>
          <w:b/>
          <w:bCs/>
          <w:sz w:val="22"/>
          <w:szCs w:val="22"/>
        </w:rPr>
        <w:t xml:space="preserve">Table 11.1: Frontend Architecture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360"/>
            <w:tcBorders>
              <w:top w:val="single" w:color="E5E7EB" w:sz="1"/>
              <w:left w:val="single" w:color="E5E7EB" w:sz="1"/>
              <w:bottom w:val="single" w:color="E5E7EB" w:sz="1"/>
              <w:right w:val="single" w:color="E5E7EB" w:sz="1"/>
            </w:tcBorders>
            <w:shd w:fill="D5E8F0" w:val="clear"/>
            <w:tcMar>
              <w:top w:type="dxa" w:w="80"/>
              <w:left w:type="dxa" w:w="120"/>
              <w:bottom w:type="dxa" w:w="80"/>
              <w:right w:type="dxa" w:w="120"/>
            </w:tcMar>
          </w:tcPr>
          <w:p>
            <w:r>
              <w:rPr>
                <w:rFonts w:ascii="Arial" w:cs="Arial" w:eastAsia="Arial" w:hAnsi="Arial"/>
                <w:b/>
                <w:bCs/>
                <w:sz w:val="20"/>
                <w:szCs w:val="20"/>
              </w:rPr>
              <w:t xml:space="preserve">Technology Stack</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Web Chat UI</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React 18+, TypeScript, Tailwind CSS, HelixUI-inspired</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Real-time Transport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WebSocket + STOMP Protocol, SockJS Fallback</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Backend API</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Spring Boot 3.x, Spring WebSocket, Spring Security</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Teams Integration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Microsoft Bot Framework SDK for Java (botbuilder-java)</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Message Format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Adaptive Cards (JSON), Markdown, Plain Text</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State Management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React Context + PostgreSQL-backed Session Persistence</w:t>
            </w:r>
          </w:p>
        </w:tc>
      </w:tr>
    </w:tbl>
    <w:p/>
    <w:p>
      <w:r>
        <w:br w:type="page"/>
      </w:r>
    </w:p>
    <w:p>
      <w:pPr>
        <w:pStyle w:val="Heading2"/>
      </w:pPr>
      <w:r>
        <w:t xml:space="preserve">11.2 Web Chat Interface: BMC Helix-Inspired Design System</w:t>
      </w:r>
    </w:p>
    <w:p>
      <w:r>
        <w:rPr>
          <w:sz w:val="22"/>
          <w:szCs w:val="22"/>
        </w:rPr>
        <w:t xml:space="preserve">The web-based chat interface is the primary interaction point for Service Desk agents operating within the Remedy Console environment. The design philosophy adheres to the BMC Helix Digital Workplace aesthetic to ensure visual consistency and minimize cognitive load during adoption.</w:t>
      </w:r>
    </w:p>
    <w:p/>
    <w:p>
      <w:pPr>
        <w:pStyle w:val="Heading3"/>
      </w:pPr>
      <w:r>
        <w:t xml:space="preserve">11.2.1 Design System Foundation: Helix UI Language</w:t>
      </w:r>
    </w:p>
    <w:p>
      <w:r>
        <w:rPr>
          <w:sz w:val="22"/>
          <w:szCs w:val="22"/>
        </w:rPr>
        <w:t xml:space="preserve">The interface draws from the HelixUI Web Components library principles—a design system that provides consistent markup, styles, and behavior across enterprise applications.</w:t>
      </w:r>
    </w:p>
    <w:p/>
    <w:p>
      <w:r>
        <w:rPr>
          <w:b/>
          <w:bCs/>
          <w:sz w:val="22"/>
          <w:szCs w:val="22"/>
        </w:rPr>
        <w:t xml:space="preserve">Design Principles:</w:t>
      </w:r>
    </w:p>
    <w:p>
      <w:pPr>
        <w:pStyle w:val="ListParagraph"/>
        <w:numPr>
          <w:ilvl w:val="0"/>
          <w:numId w:val="2"/>
        </w:numPr>
      </w:pPr>
      <w:r>
        <w:rPr>
          <w:sz w:val="22"/>
          <w:szCs w:val="22"/>
        </w:rPr>
        <w:t xml:space="preserve">Functional Clarity: Every UI element serves a clear purpose with minimal decoration.</w:t>
      </w:r>
    </w:p>
    <w:p>
      <w:pPr>
        <w:pStyle w:val="ListParagraph"/>
        <w:numPr>
          <w:ilvl w:val="0"/>
          <w:numId w:val="2"/>
        </w:numPr>
      </w:pPr>
      <w:r>
        <w:rPr>
          <w:sz w:val="22"/>
          <w:szCs w:val="22"/>
        </w:rPr>
        <w:t xml:space="preserve">Contextual Awareness: The interface adapts based on the user's role and current ticket context.</w:t>
      </w:r>
    </w:p>
    <w:p>
      <w:pPr>
        <w:pStyle w:val="ListParagraph"/>
        <w:numPr>
          <w:ilvl w:val="0"/>
          <w:numId w:val="2"/>
        </w:numPr>
      </w:pPr>
      <w:r>
        <w:rPr>
          <w:sz w:val="22"/>
          <w:szCs w:val="22"/>
        </w:rPr>
        <w:t xml:space="preserve">Professional Typography: Sans-serif font stack (Roboto, Open Sans) at readable sizes.</w:t>
      </w:r>
    </w:p>
    <w:p>
      <w:pPr>
        <w:pStyle w:val="ListParagraph"/>
        <w:numPr>
          <w:ilvl w:val="0"/>
          <w:numId w:val="2"/>
        </w:numPr>
      </w:pPr>
      <w:r>
        <w:rPr>
          <w:sz w:val="22"/>
          <w:szCs w:val="22"/>
        </w:rPr>
        <w:t xml:space="preserve">Restrained Color Palette: Neutral backgrounds with accent colors for actionable elements.</w:t>
      </w:r>
    </w:p>
    <w:p>
      <w:pPr>
        <w:pStyle w:val="ListParagraph"/>
        <w:numPr>
          <w:ilvl w:val="0"/>
          <w:numId w:val="2"/>
        </w:numPr>
      </w:pPr>
      <w:r>
        <w:rPr>
          <w:sz w:val="22"/>
          <w:szCs w:val="22"/>
        </w:rPr>
        <w:t xml:space="preserve">Accessible Contrast: WCAG 2.1 AA compliance (4.5:1 minimum contrast ratio).</w:t>
      </w:r>
    </w:p>
    <w:p/>
    <w:p>
      <w:r>
        <w:rPr>
          <w:b/>
          <w:bCs/>
          <w:sz w:val="22"/>
          <w:szCs w:val="22"/>
        </w:rPr>
        <w:t xml:space="preserve">Table 11.2: BMC Helix-Inspired 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E5E7EB" w:sz="1"/>
              <w:left w:val="single" w:color="E5E7EB" w:sz="1"/>
              <w:bottom w:val="single" w:color="E5E7EB" w:sz="1"/>
              <w:right w:val="single" w:color="E5E7EB" w:sz="1"/>
            </w:tcBorders>
            <w:shd w:fill="D5E8F0" w:val="clear"/>
            <w:tcMar>
              <w:top w:type="dxa" w:w="80"/>
              <w:left w:type="dxa" w:w="120"/>
              <w:bottom w:type="dxa" w:w="80"/>
              <w:right w:type="dxa" w:w="120"/>
            </w:tcMar>
          </w:tcPr>
          <w:p>
            <w:r>
              <w:rPr>
                <w:rFonts w:ascii="Arial" w:cs="Arial" w:eastAsia="Arial" w:hAnsi="Arial"/>
                <w:b/>
                <w:bCs/>
                <w:sz w:val="20"/>
                <w:szCs w:val="20"/>
              </w:rPr>
              <w:t xml:space="preserve">Color Role</w:t>
            </w:r>
          </w:p>
        </w:tc>
        <w:tc>
          <w:tcPr>
            <w:tcW w:type="dxa" w:w="1500"/>
            <w:tcBorders>
              <w:top w:val="single" w:color="E5E7EB" w:sz="1"/>
              <w:left w:val="single" w:color="E5E7EB" w:sz="1"/>
              <w:bottom w:val="single" w:color="E5E7EB" w:sz="1"/>
              <w:right w:val="single" w:color="E5E7EB" w:sz="1"/>
            </w:tcBorders>
            <w:shd w:fill="D5E8F0" w:val="clear"/>
            <w:tcMar>
              <w:top w:type="dxa" w:w="80"/>
              <w:left w:type="dxa" w:w="120"/>
              <w:bottom w:type="dxa" w:w="80"/>
              <w:right w:type="dxa" w:w="120"/>
            </w:tcMar>
          </w:tcPr>
          <w:p>
            <w:r>
              <w:rPr>
                <w:rFonts w:ascii="Arial" w:cs="Arial" w:eastAsia="Arial" w:hAnsi="Arial"/>
                <w:b/>
                <w:bCs/>
                <w:sz w:val="20"/>
                <w:szCs w:val="20"/>
              </w:rPr>
              <w:t xml:space="preserve">Hex Value</w:t>
            </w:r>
          </w:p>
        </w:tc>
        <w:tc>
          <w:tcPr>
            <w:tcW w:type="dxa" w:w="5360"/>
            <w:tcBorders>
              <w:top w:val="single" w:color="E5E7EB" w:sz="1"/>
              <w:left w:val="single" w:color="E5E7EB" w:sz="1"/>
              <w:bottom w:val="single" w:color="E5E7EB" w:sz="1"/>
              <w:right w:val="single" w:color="E5E7EB" w:sz="1"/>
            </w:tcBorders>
            <w:shd w:fill="D5E8F0" w:val="clear"/>
            <w:tcMar>
              <w:top w:type="dxa" w:w="80"/>
              <w:left w:type="dxa" w:w="120"/>
              <w:bottom w:type="dxa" w:w="80"/>
              <w:right w:type="dxa" w:w="120"/>
            </w:tcMar>
          </w:tcPr>
          <w:p>
            <w:r>
              <w:rPr>
                <w:rFonts w:ascii="Arial" w:cs="Arial" w:eastAsia="Arial" w:hAnsi="Arial"/>
                <w:b/>
                <w:bCs/>
                <w:sz w:val="20"/>
                <w:szCs w:val="20"/>
              </w:rPr>
              <w:t xml:space="preserve">Usage</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Primary Background</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#FFFFFF</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Main chat area, input fields</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Secondary Background</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#F5F7FA</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Agent message bubbles, sidebar</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Primary Text</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#1C2833</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Body text, labels</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Primary Accent</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#0066CC</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User message bubbles, primary buttons</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Success Accent</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#28A745</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Resolved status, positive actions</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Citation Highlight</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#E3F2FD</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Background for incident citations</w:t>
            </w:r>
          </w:p>
        </w:tc>
      </w:tr>
    </w:tbl>
    <w:p/>
    <w:p>
      <w:r>
        <w:br w:type="page"/>
      </w:r>
    </w:p>
    <w:p>
      <w:pPr>
        <w:pStyle w:val="Heading3"/>
      </w:pPr>
      <w:r>
        <w:t xml:space="preserve">11.2.2 Component Architecture: React Implementation</w:t>
      </w:r>
    </w:p>
    <w:p>
      <w:r>
        <w:rPr>
          <w:sz w:val="22"/>
          <w:szCs w:val="22"/>
        </w:rPr>
        <w:t xml:space="preserve">The chat interface is built as a modular React application, designed for embedding within the BMC Remedy Mid-Tier web interface or deploying as a standalone application.</w:t>
      </w:r>
    </w:p>
    <w:p/>
    <w:p>
      <w:r>
        <w:rPr>
          <w:b/>
          <w:bCs/>
          <w:sz w:val="22"/>
          <w:szCs w:val="22"/>
        </w:rPr>
        <w:t xml:space="preserve">Key React Components:</w:t>
      </w:r>
    </w:p>
    <w:p>
      <w:pPr>
        <w:pStyle w:val="ListParagraph"/>
        <w:numPr>
          <w:ilvl w:val="0"/>
          <w:numId w:val="3"/>
        </w:numPr>
      </w:pPr>
      <w:r>
        <w:rPr>
          <w:sz w:val="22"/>
          <w:szCs w:val="22"/>
        </w:rPr>
        <w:t xml:space="preserve">ChatProvider: Context for global state (session, user, messages)</w:t>
      </w:r>
    </w:p>
    <w:p>
      <w:pPr>
        <w:pStyle w:val="ListParagraph"/>
        <w:numPr>
          <w:ilvl w:val="0"/>
          <w:numId w:val="3"/>
        </w:numPr>
      </w:pPr>
      <w:r>
        <w:rPr>
          <w:sz w:val="22"/>
          <w:szCs w:val="22"/>
        </w:rPr>
        <w:t xml:space="preserve">MessageBubble: Individual message rendering with citation support</w:t>
      </w:r>
    </w:p>
    <w:p>
      <w:pPr>
        <w:pStyle w:val="ListParagraph"/>
        <w:numPr>
          <w:ilvl w:val="0"/>
          <w:numId w:val="3"/>
        </w:numPr>
      </w:pPr>
      <w:r>
        <w:rPr>
          <w:sz w:val="22"/>
          <w:szCs w:val="22"/>
        </w:rPr>
        <w:t xml:space="preserve">StreamingMessage: Real-time token-by-token display during LLM inference</w:t>
      </w:r>
    </w:p>
    <w:p>
      <w:pPr>
        <w:pStyle w:val="ListParagraph"/>
        <w:numPr>
          <w:ilvl w:val="0"/>
          <w:numId w:val="3"/>
        </w:numPr>
      </w:pPr>
      <w:r>
        <w:rPr>
          <w:sz w:val="22"/>
          <w:szCs w:val="22"/>
        </w:rPr>
        <w:t xml:space="preserve">CitationBlock: Auto-links incident numbers to Remedy Mid-Tier forms</w:t>
      </w:r>
    </w:p>
    <w:p>
      <w:pPr>
        <w:pStyle w:val="ListParagraph"/>
        <w:numPr>
          <w:ilvl w:val="0"/>
          <w:numId w:val="3"/>
        </w:numPr>
      </w:pPr>
      <w:r>
        <w:rPr>
          <w:sz w:val="22"/>
          <w:szCs w:val="22"/>
        </w:rPr>
        <w:t xml:space="preserve">WebSocketProvider: Connection management with auto-reconnect</w:t>
      </w:r>
    </w:p>
    <w:p/>
    <w:p>
      <w:pPr>
        <w:pStyle w:val="Heading3"/>
      </w:pPr>
      <w:r>
        <w:t xml:space="preserve">11.2.3 Real-Time Communication: WebSocket + STOMP</w:t>
      </w:r>
    </w:p>
    <w:p>
      <w:r>
        <w:rPr>
          <w:sz w:val="22"/>
          <w:szCs w:val="22"/>
        </w:rPr>
        <w:t xml:space="preserve">Traditional HTTP polling is unsuitable for chat applications due to latency and server load. The architecture implements WebSocket with STOMP (Simple Text Oriented Messaging Protocol) for structured pub/sub messaging.</w:t>
      </w:r>
    </w:p>
    <w:p/>
    <w:p>
      <w:r>
        <w:rPr>
          <w:b/>
          <w:bCs/>
          <w:sz w:val="22"/>
          <w:szCs w:val="22"/>
        </w:rPr>
        <w:t xml:space="preserve">STOMP Message Flow:</w:t>
      </w:r>
    </w:p>
    <w:p>
      <w:pPr>
        <w:pStyle w:val="ListParagraph"/>
        <w:numPr>
          <w:ilvl w:val="0"/>
          <w:numId w:val="2"/>
        </w:numPr>
      </w:pPr>
      <w:r>
        <w:rPr>
          <w:sz w:val="22"/>
          <w:szCs w:val="22"/>
        </w:rPr>
        <w:t xml:space="preserve">Connection: Client connects to /ws-chat endpoint via SockJS</w:t>
      </w:r>
    </w:p>
    <w:p>
      <w:pPr>
        <w:pStyle w:val="ListParagraph"/>
        <w:numPr>
          <w:ilvl w:val="0"/>
          <w:numId w:val="2"/>
        </w:numPr>
      </w:pPr>
      <w:r>
        <w:rPr>
          <w:sz w:val="22"/>
          <w:szCs w:val="22"/>
        </w:rPr>
        <w:t xml:space="preserve">Subscription: Client subscribes to /user/queue/response for personalized responses</w:t>
      </w:r>
    </w:p>
    <w:p>
      <w:pPr>
        <w:pStyle w:val="ListParagraph"/>
        <w:numPr>
          <w:ilvl w:val="0"/>
          <w:numId w:val="2"/>
        </w:numPr>
      </w:pPr>
      <w:r>
        <w:rPr>
          <w:sz w:val="22"/>
          <w:szCs w:val="22"/>
        </w:rPr>
        <w:t xml:space="preserve">Send Query: Client sends message to /app/chat.query destination</w:t>
      </w:r>
    </w:p>
    <w:p>
      <w:pPr>
        <w:pStyle w:val="ListParagraph"/>
        <w:numPr>
          <w:ilvl w:val="0"/>
          <w:numId w:val="2"/>
        </w:numPr>
      </w:pPr>
      <w:r>
        <w:rPr>
          <w:sz w:val="22"/>
          <w:szCs w:val="22"/>
        </w:rPr>
        <w:t xml:space="preserve">Processing: ChatController receives, invokes RAG pipeline, streams response</w:t>
      </w:r>
    </w:p>
    <w:p>
      <w:pPr>
        <w:pStyle w:val="ListParagraph"/>
        <w:numPr>
          <w:ilvl w:val="0"/>
          <w:numId w:val="2"/>
        </w:numPr>
      </w:pPr>
      <w:r>
        <w:rPr>
          <w:sz w:val="22"/>
          <w:szCs w:val="22"/>
        </w:rPr>
        <w:t xml:space="preserve">Stream Response: Server publishes tokens to user's private queue</w:t>
      </w:r>
    </w:p>
    <w:p>
      <w:pPr>
        <w:pStyle w:val="ListParagraph"/>
        <w:numPr>
          <w:ilvl w:val="0"/>
          <w:numId w:val="2"/>
        </w:numPr>
      </w:pPr>
      <w:r>
        <w:rPr>
          <w:sz w:val="22"/>
          <w:szCs w:val="22"/>
        </w:rPr>
        <w:t xml:space="preserve">Completion: Final message includes metadata (sources, confidence, latency)</w:t>
      </w:r>
    </w:p>
    <w:p/>
    <w:p>
      <w:r>
        <w:br w:type="page"/>
      </w:r>
    </w:p>
    <w:p>
      <w:pPr>
        <w:pStyle w:val="Heading2"/>
      </w:pPr>
      <w:r>
        <w:t xml:space="preserve">11.3 Microsoft Teams Bot Integration</w:t>
      </w:r>
    </w:p>
    <w:p>
      <w:r>
        <w:rPr>
          <w:sz w:val="22"/>
          <w:szCs w:val="22"/>
        </w:rPr>
        <w:t xml:space="preserve">Extending the RAG agent to Microsoft Teams enables support agents to access historical resolution knowledge without switching applications—a critical productivity enhancement for organizations where Teams is the primary collaboration platform.</w:t>
      </w:r>
    </w:p>
    <w:p/>
    <w:p>
      <w:pPr>
        <w:pStyle w:val="Heading3"/>
      </w:pPr>
      <w:r>
        <w:t xml:space="preserve">11.3.1 Microsoft Teams Bot Architecture</w:t>
      </w:r>
    </w:p>
    <w:p>
      <w:r>
        <w:rPr>
          <w:sz w:val="22"/>
          <w:szCs w:val="22"/>
        </w:rPr>
        <w:t xml:space="preserve">The integration leverages the Microsoft Bot Framework SDK for Java (botbuilder-java), which handles the complex OAuth flows, activity routing, and message serialization required for Teams communication.</w:t>
      </w:r>
    </w:p>
    <w:p/>
    <w:p>
      <w:pPr>
        <w:shd w:fill="FFF3CD" w:val="clear"/>
      </w:pPr>
      <w:r>
        <w:rPr>
          <w:b/>
          <w:bCs/>
          <w:sz w:val="22"/>
          <w:szCs w:val="22"/>
        </w:rPr>
        <w:t xml:space="preserve">⚠ CRITICAL: Air-Gap Considerations for Teams Integration</w:t>
      </w:r>
    </w:p>
    <w:p>
      <w:pPr>
        <w:shd w:fill="FFF3CD" w:val="clear"/>
      </w:pPr>
      <w:r>
        <w:rPr>
          <w:sz w:val="22"/>
          <w:szCs w:val="22"/>
        </w:rPr>
        <w:t xml:space="preserve">The Microsoft Teams bot requires outbound HTTPS connectivity to Azure Bot Service for message routing. In strictly air-gapped environments, this integration may require a DMZ proxy architecture or use of Teams Outgoing Webhooks as an alternative.</w:t>
      </w:r>
    </w:p>
    <w:p/>
    <w:p>
      <w:r>
        <w:rPr>
          <w:b/>
          <w:bCs/>
          <w:sz w:val="22"/>
          <w:szCs w:val="22"/>
        </w:rPr>
        <w:t xml:space="preserve">Maven Dependencies:</w:t>
      </w:r>
    </w:p>
    <w:p>
      <w:pPr>
        <w:pStyle w:val="ListParagraph"/>
        <w:numPr>
          <w:ilvl w:val="0"/>
          <w:numId w:val="3"/>
        </w:numPr>
      </w:pPr>
      <w:r>
        <w:rPr>
          <w:rFonts w:ascii="Consolas" w:cs="Consolas" w:eastAsia="Consolas" w:hAnsi="Consolas"/>
          <w:sz w:val="20"/>
          <w:szCs w:val="20"/>
        </w:rPr>
        <w:t xml:space="preserve">com.microsoft.bot:bot-builder:4.14.3</w:t>
      </w:r>
    </w:p>
    <w:p>
      <w:pPr>
        <w:pStyle w:val="ListParagraph"/>
        <w:numPr>
          <w:ilvl w:val="0"/>
          <w:numId w:val="3"/>
        </w:numPr>
      </w:pPr>
      <w:r>
        <w:rPr>
          <w:rFonts w:ascii="Consolas" w:cs="Consolas" w:eastAsia="Consolas" w:hAnsi="Consolas"/>
          <w:sz w:val="20"/>
          <w:szCs w:val="20"/>
        </w:rPr>
        <w:t xml:space="preserve">com.microsoft.bot:bot-integration-spring:4.14.3</w:t>
      </w:r>
    </w:p>
    <w:p/>
    <w:p>
      <w:pPr>
        <w:pStyle w:val="Heading3"/>
      </w:pPr>
      <w:r>
        <w:t xml:space="preserve">11.3.2 Adaptive Cards for Rich Responses</w:t>
      </w:r>
    </w:p>
    <w:p>
      <w:r>
        <w:rPr>
          <w:sz w:val="22"/>
          <w:szCs w:val="22"/>
        </w:rPr>
        <w:t xml:space="preserve">Adaptive Cards provide a cross-platform UI framework for rendering rich content in Teams. The RAG agent responses are formatted as Adaptive Cards to display the AI-generated answer, citation blocks linking to source incidents, confidence indicators, and feedback buttons.</w:t>
      </w:r>
    </w:p>
    <w:p/>
    <w:p>
      <w:r>
        <w:rPr>
          <w:b/>
          <w:bCs/>
          <w:sz w:val="22"/>
          <w:szCs w:val="22"/>
        </w:rPr>
        <w:t xml:space="preserve">Adaptive Card Features:</w:t>
      </w:r>
    </w:p>
    <w:p>
      <w:pPr>
        <w:pStyle w:val="ListParagraph"/>
        <w:numPr>
          <w:ilvl w:val="0"/>
          <w:numId w:val="3"/>
        </w:numPr>
      </w:pPr>
      <w:r>
        <w:rPr>
          <w:sz w:val="22"/>
          <w:szCs w:val="22"/>
        </w:rPr>
        <w:t xml:space="preserve">Formatted answer text with Markdown support</w:t>
      </w:r>
    </w:p>
    <w:p>
      <w:pPr>
        <w:pStyle w:val="ListParagraph"/>
        <w:numPr>
          <w:ilvl w:val="0"/>
          <w:numId w:val="3"/>
        </w:numPr>
      </w:pPr>
      <w:r>
        <w:rPr>
          <w:sz w:val="22"/>
          <w:szCs w:val="22"/>
        </w:rPr>
        <w:t xml:space="preserve">Source citations displayed as a FactSet</w:t>
      </w:r>
    </w:p>
    <w:p>
      <w:pPr>
        <w:pStyle w:val="ListParagraph"/>
        <w:numPr>
          <w:ilvl w:val="0"/>
          <w:numId w:val="3"/>
        </w:numPr>
      </w:pPr>
      <w:r>
        <w:rPr>
          <w:sz w:val="22"/>
          <w:szCs w:val="22"/>
        </w:rPr>
        <w:t xml:space="preserve">Confidence score with color-coded indicator</w:t>
      </w:r>
    </w:p>
    <w:p>
      <w:pPr>
        <w:pStyle w:val="ListParagraph"/>
        <w:numPr>
          <w:ilvl w:val="0"/>
          <w:numId w:val="3"/>
        </w:numPr>
      </w:pPr>
      <w:r>
        <w:rPr>
          <w:sz w:val="22"/>
          <w:szCs w:val="22"/>
        </w:rPr>
        <w:t xml:space="preserve">"View in Remedy" action button with direct link</w:t>
      </w:r>
    </w:p>
    <w:p>
      <w:pPr>
        <w:pStyle w:val="ListParagraph"/>
        <w:numPr>
          <w:ilvl w:val="0"/>
          <w:numId w:val="3"/>
        </w:numPr>
      </w:pPr>
      <w:r>
        <w:rPr>
          <w:sz w:val="22"/>
          <w:szCs w:val="22"/>
        </w:rPr>
        <w:t xml:space="preserve">Feedback buttons (👍 Helpful / 👎 Not Helpful)</w:t>
      </w:r>
    </w:p>
    <w:p/>
    <w:p>
      <w:r>
        <w:br w:type="page"/>
      </w:r>
    </w:p>
    <w:p>
      <w:pPr>
        <w:pStyle w:val="Heading2"/>
      </w:pPr>
      <w:r>
        <w:t xml:space="preserve">11.4 Cross-Platform Abstraction: FINOS Spring Bot</w:t>
      </w:r>
    </w:p>
    <w:p>
      <w:r>
        <w:rPr>
          <w:sz w:val="22"/>
          <w:szCs w:val="22"/>
        </w:rPr>
        <w:t xml:space="preserve">For organizations requiring a single codebase that targets both Microsoft Teams and other platforms (Slack, Symphony), the FINOS Spring Bot framework (springbot.finos.org) provides an abstraction layer with annotation-based development similar to Spring MVC.</w:t>
      </w:r>
    </w:p>
    <w:p/>
    <w:p>
      <w:r>
        <w:rPr>
          <w:b/>
          <w:bCs/>
          <w:sz w:val="22"/>
          <w:szCs w:val="22"/>
        </w:rPr>
        <w:t xml:space="preserve">Benefits:</w:t>
      </w:r>
    </w:p>
    <w:p>
      <w:pPr>
        <w:pStyle w:val="ListParagraph"/>
        <w:numPr>
          <w:ilvl w:val="0"/>
          <w:numId w:val="3"/>
        </w:numPr>
      </w:pPr>
      <w:r>
        <w:rPr>
          <w:sz w:val="22"/>
          <w:szCs w:val="22"/>
        </w:rPr>
        <w:t xml:space="preserve">Single codebase for Teams + Symphony + future platforms</w:t>
      </w:r>
    </w:p>
    <w:p>
      <w:pPr>
        <w:pStyle w:val="ListParagraph"/>
        <w:numPr>
          <w:ilvl w:val="0"/>
          <w:numId w:val="3"/>
        </w:numPr>
      </w:pPr>
      <w:r>
        <w:rPr>
          <w:sz w:val="22"/>
          <w:szCs w:val="22"/>
        </w:rPr>
        <w:t xml:space="preserve">Automatic template generation for POJOs (forms, buttons)</w:t>
      </w:r>
    </w:p>
    <w:p>
      <w:pPr>
        <w:pStyle w:val="ListParagraph"/>
        <w:numPr>
          <w:ilvl w:val="0"/>
          <w:numId w:val="3"/>
        </w:numPr>
      </w:pPr>
      <w:r>
        <w:rPr>
          <w:sz w:val="22"/>
          <w:szCs w:val="22"/>
        </w:rPr>
        <w:t xml:space="preserve">Stateless architecture using chat platform storage</w:t>
      </w:r>
    </w:p>
    <w:p>
      <w:pPr>
        <w:pStyle w:val="ListParagraph"/>
        <w:numPr>
          <w:ilvl w:val="0"/>
          <w:numId w:val="3"/>
        </w:numPr>
      </w:pPr>
      <w:r>
        <w:rPr>
          <w:sz w:val="22"/>
          <w:szCs w:val="22"/>
        </w:rPr>
        <w:t xml:space="preserve">Open-source (Apache 2.0 license) with no vendor lock-in</w:t>
      </w:r>
    </w:p>
    <w:p/>
    <w:p>
      <w:pPr>
        <w:pStyle w:val="Heading2"/>
      </w:pPr>
      <w:r>
        <w:t xml:space="preserve">11.5 Security Architecture for Frontend Layer</w:t>
      </w:r>
    </w:p>
    <w:p>
      <w:pPr>
        <w:pStyle w:val="Heading3"/>
      </w:pPr>
      <w:r>
        <w:t xml:space="preserve">11.5.1 Authentication and Authorization</w:t>
      </w:r>
    </w:p>
    <w:p>
      <w:r>
        <w:rPr>
          <w:b/>
          <w:bCs/>
          <w:sz w:val="22"/>
          <w:szCs w:val="22"/>
        </w:rPr>
        <w:t xml:space="preserve">Web Chat Authentication:</w:t>
      </w:r>
    </w:p>
    <w:p>
      <w:pPr>
        <w:pStyle w:val="ListParagraph"/>
        <w:numPr>
          <w:ilvl w:val="0"/>
          <w:numId w:val="3"/>
        </w:numPr>
      </w:pPr>
      <w:r>
        <w:rPr>
          <w:sz w:val="22"/>
          <w:szCs w:val="22"/>
        </w:rPr>
        <w:t xml:space="preserve">Integrates with existing BMC Remedy SSO (SAML 2.0 or OAuth 2.0)</w:t>
      </w:r>
    </w:p>
    <w:p>
      <w:pPr>
        <w:pStyle w:val="ListParagraph"/>
        <w:numPr>
          <w:ilvl w:val="0"/>
          <w:numId w:val="3"/>
        </w:numPr>
      </w:pPr>
      <w:r>
        <w:rPr>
          <w:sz w:val="22"/>
          <w:szCs w:val="22"/>
        </w:rPr>
        <w:t xml:space="preserve">Session tokens passed via WebSocket STOMP headers</w:t>
      </w:r>
    </w:p>
    <w:p>
      <w:pPr>
        <w:pStyle w:val="ListParagraph"/>
        <w:numPr>
          <w:ilvl w:val="0"/>
          <w:numId w:val="3"/>
        </w:numPr>
      </w:pPr>
      <w:r>
        <w:rPr>
          <w:sz w:val="22"/>
          <w:szCs w:val="22"/>
        </w:rPr>
        <w:t xml:space="preserve">Token validation on every message (not just connection)</w:t>
      </w:r>
    </w:p>
    <w:p/>
    <w:p>
      <w:r>
        <w:rPr>
          <w:b/>
          <w:bCs/>
          <w:sz w:val="22"/>
          <w:szCs w:val="22"/>
        </w:rPr>
        <w:t xml:space="preserve">Teams Bot Authentication:</w:t>
      </w:r>
    </w:p>
    <w:p>
      <w:pPr>
        <w:pStyle w:val="ListParagraph"/>
        <w:numPr>
          <w:ilvl w:val="0"/>
          <w:numId w:val="3"/>
        </w:numPr>
      </w:pPr>
      <w:r>
        <w:rPr>
          <w:sz w:val="22"/>
          <w:szCs w:val="22"/>
        </w:rPr>
        <w:t xml:space="preserve">Azure Bot Service handles OAuth token validation</w:t>
      </w:r>
    </w:p>
    <w:p>
      <w:pPr>
        <w:pStyle w:val="ListParagraph"/>
        <w:numPr>
          <w:ilvl w:val="0"/>
          <w:numId w:val="3"/>
        </w:numPr>
      </w:pPr>
      <w:r>
        <w:rPr>
          <w:sz w:val="22"/>
          <w:szCs w:val="22"/>
        </w:rPr>
        <w:t xml:space="preserve">Bot Framework SDK verifies JWT signature against Microsoft keys</w:t>
      </w:r>
    </w:p>
    <w:p>
      <w:pPr>
        <w:pStyle w:val="ListParagraph"/>
        <w:numPr>
          <w:ilvl w:val="0"/>
          <w:numId w:val="3"/>
        </w:numPr>
      </w:pPr>
      <w:r>
        <w:rPr>
          <w:sz w:val="22"/>
          <w:szCs w:val="22"/>
        </w:rPr>
        <w:t xml:space="preserve">Tenant ID validation for single-tenant deployments</w:t>
      </w:r>
    </w:p>
    <w:p/>
    <w:p>
      <w:pPr>
        <w:pStyle w:val="Heading3"/>
      </w:pPr>
      <w:r>
        <w:t xml:space="preserve">11.5.2 Input Sanitization and Rate Limiting</w:t>
      </w:r>
    </w:p>
    <w:p>
      <w:r>
        <w:rPr>
          <w:sz w:val="22"/>
          <w:szCs w:val="22"/>
        </w:rPr>
        <w:t xml:space="preserve">All user inputs are sanitized before processing, including length limits (4000 characters max), prompt injection pattern detection, and HTML entity encoding.</w:t>
      </w:r>
    </w:p>
    <w:p/>
    <w:p>
      <w:r>
        <w:br w:type="page"/>
      </w:r>
    </w:p>
    <w:p>
      <w:pPr>
        <w:pStyle w:val="Heading2"/>
      </w:pPr>
      <w:r>
        <w:t xml:space="preserve">11.6 Operational Considerations</w:t>
      </w:r>
    </w:p>
    <w:p>
      <w:pPr>
        <w:pStyle w:val="Heading3"/>
      </w:pPr>
      <w:r>
        <w:t xml:space="preserve">11.6.1 Monitoring and Observability</w:t>
      </w:r>
    </w:p>
    <w:p>
      <w:r>
        <w:rPr>
          <w:b/>
          <w:bCs/>
          <w:sz w:val="22"/>
          <w:szCs w:val="22"/>
        </w:rPr>
        <w:t xml:space="preserve">Key Metrics to Track:</w:t>
      </w:r>
    </w:p>
    <w:p>
      <w:pPr>
        <w:pStyle w:val="ListParagraph"/>
        <w:numPr>
          <w:ilvl w:val="0"/>
          <w:numId w:val="3"/>
        </w:numPr>
      </w:pPr>
      <w:r>
        <w:rPr>
          <w:sz w:val="22"/>
          <w:szCs w:val="22"/>
        </w:rPr>
        <w:t xml:space="preserve">WebSocket connection count (gauge)</w:t>
      </w:r>
    </w:p>
    <w:p>
      <w:pPr>
        <w:pStyle w:val="ListParagraph"/>
        <w:numPr>
          <w:ilvl w:val="0"/>
          <w:numId w:val="3"/>
        </w:numPr>
      </w:pPr>
      <w:r>
        <w:rPr>
          <w:sz w:val="22"/>
          <w:szCs w:val="22"/>
        </w:rPr>
        <w:t xml:space="preserve">Messages per second (counter)</w:t>
      </w:r>
    </w:p>
    <w:p>
      <w:pPr>
        <w:pStyle w:val="ListParagraph"/>
        <w:numPr>
          <w:ilvl w:val="0"/>
          <w:numId w:val="3"/>
        </w:numPr>
      </w:pPr>
      <w:r>
        <w:rPr>
          <w:sz w:val="22"/>
          <w:szCs w:val="22"/>
        </w:rPr>
        <w:t xml:space="preserve">RAG query latency (histogram) - P50, P95, P99</w:t>
      </w:r>
    </w:p>
    <w:p>
      <w:pPr>
        <w:pStyle w:val="ListParagraph"/>
        <w:numPr>
          <w:ilvl w:val="0"/>
          <w:numId w:val="3"/>
        </w:numPr>
      </w:pPr>
      <w:r>
        <w:rPr>
          <w:sz w:val="22"/>
          <w:szCs w:val="22"/>
        </w:rPr>
        <w:t xml:space="preserve">LLM token consumption (counter)</w:t>
      </w:r>
    </w:p>
    <w:p>
      <w:pPr>
        <w:pStyle w:val="ListParagraph"/>
        <w:numPr>
          <w:ilvl w:val="0"/>
          <w:numId w:val="3"/>
        </w:numPr>
      </w:pPr>
      <w:r>
        <w:rPr>
          <w:sz w:val="22"/>
          <w:szCs w:val="22"/>
        </w:rPr>
        <w:t xml:space="preserve">Citation accuracy (feedback-based)</w:t>
      </w:r>
    </w:p>
    <w:p/>
    <w:p>
      <w:pPr>
        <w:pStyle w:val="Heading3"/>
      </w:pPr>
      <w:r>
        <w:t xml:space="preserve">11.6.2 Error Handling and Graceful Degradation</w:t>
      </w:r>
    </w:p>
    <w:p>
      <w:r>
        <w:rPr>
          <w:b/>
          <w:bCs/>
          <w:sz w:val="22"/>
          <w:szCs w:val="22"/>
        </w:rPr>
        <w:t xml:space="preserve">Fallback Strategies:</w:t>
      </w:r>
    </w:p>
    <w:p>
      <w:pPr>
        <w:pStyle w:val="ListParagraph"/>
        <w:numPr>
          <w:ilvl w:val="0"/>
          <w:numId w:val="2"/>
        </w:numPr>
      </w:pPr>
      <w:r>
        <w:rPr>
          <w:sz w:val="22"/>
          <w:szCs w:val="22"/>
        </w:rPr>
        <w:t xml:space="preserve">WebSocket Disconnection: Automatic reconnection with exponential backoff (5s, 10s, 20s, 60s max)</w:t>
      </w:r>
    </w:p>
    <w:p>
      <w:pPr>
        <w:pStyle w:val="ListParagraph"/>
        <w:numPr>
          <w:ilvl w:val="0"/>
          <w:numId w:val="2"/>
        </w:numPr>
      </w:pPr>
      <w:r>
        <w:rPr>
          <w:sz w:val="22"/>
          <w:szCs w:val="22"/>
        </w:rPr>
        <w:t xml:space="preserve">RAG Service Timeout: Display "Service temporarily unavailable" with retry button</w:t>
      </w:r>
    </w:p>
    <w:p>
      <w:pPr>
        <w:pStyle w:val="ListParagraph"/>
        <w:numPr>
          <w:ilvl w:val="0"/>
          <w:numId w:val="2"/>
        </w:numPr>
      </w:pPr>
      <w:r>
        <w:rPr>
          <w:sz w:val="22"/>
          <w:szCs w:val="22"/>
        </w:rPr>
        <w:t xml:space="preserve">LLM Overload: Queue requests with position indicator</w:t>
      </w:r>
    </w:p>
    <w:p>
      <w:pPr>
        <w:pStyle w:val="ListParagraph"/>
        <w:numPr>
          <w:ilvl w:val="0"/>
          <w:numId w:val="2"/>
        </w:numPr>
      </w:pPr>
      <w:r>
        <w:rPr>
          <w:sz w:val="22"/>
          <w:szCs w:val="22"/>
        </w:rPr>
        <w:t xml:space="preserve">Citation Link Failure: Show incident number as plain text (still copyable)</w:t>
      </w:r>
    </w:p>
    <w:p/>
    <w:p>
      <w:pPr>
        <w:pStyle w:val="Heading2"/>
      </w:pPr>
      <w:r>
        <w:t xml:space="preserve">11.7 Future Enhancements Roadmap</w:t>
      </w:r>
    </w:p>
    <w:p>
      <w:r>
        <w:rPr>
          <w:sz w:val="22"/>
          <w:szCs w:val="22"/>
        </w:rPr>
        <w:t xml:space="preserve">The frontend layer is designed for iterative enhancement: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7360"/>
            <w:tcBorders>
              <w:top w:val="single" w:color="E5E7EB" w:sz="1"/>
              <w:left w:val="single" w:color="E5E7EB" w:sz="1"/>
              <w:bottom w:val="single" w:color="E5E7EB" w:sz="1"/>
              <w:right w:val="single" w:color="E5E7EB" w:sz="1"/>
            </w:tcBorders>
            <w:shd w:fill="D5E8F0" w:val="clear"/>
            <w:tcMar>
              <w:top w:type="dxa" w:w="80"/>
              <w:left w:type="dxa" w:w="120"/>
              <w:bottom w:type="dxa" w:w="80"/>
              <w:right w:type="dxa" w:w="120"/>
            </w:tcMar>
          </w:tcPr>
          <w:p>
            <w:r>
              <w:rPr>
                <w:rFonts w:ascii="Arial" w:cs="Arial" w:eastAsia="Arial" w:hAnsi="Arial"/>
                <w:b/>
                <w:bCs/>
                <w:sz w:val="20"/>
                <w:szCs w:val="20"/>
              </w:rPr>
              <w:t xml:space="preserve">Features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Phase 1 (Current)</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Basic Chat + Teams Integration, WebSocket streaming, Adaptive Cards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Auto-detect ticket context from Remedy, "Insert to Resolution" one-click action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Phase 3</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Real-time similar incident suggestions, Push notifications, Trend dashboards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Phase 4</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sz w:val="20"/>
                <w:szCs w:val="20"/>
              </w:rPr>
              <w:t xml:space="preserve">Voice input via Web Speech API, Screenshot OCR, Video tutorial suggestions</w:t>
            </w:r>
          </w:p>
        </w:tc>
      </w:tr>
    </w:tbl>
    <w:p/>
    <w:p>
      <w:r>
        <w:br w:type="page"/>
      </w:r>
    </w:p>
    <w:p>
      <w:pPr>
        <w:pStyle w:val="Heading2"/>
      </w:pPr>
      <w:r>
        <w:t xml:space="preserve">Summary</w:t>
      </w:r>
    </w:p>
    <w:p>
      <w:r>
        <w:rPr>
          <w:sz w:val="22"/>
          <w:szCs w:val="22"/>
        </w:rPr>
        <w:t xml:space="preserve">This frontend architecture establishes a comprehensive multi-channel interface strategy that respects the air-gap constraints of enterprise environments while delivering a modern, responsive user experience. The BMC Helix-inspired web chat provides seamless integration with existing Remedy workflows, while the Microsoft Teams bot extends the agent's reach into daily collaboration tools. Together, they transform the RAG agent from a backend system into an accessible, user-friendly knowledge assistant that meets support agents where they 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8"/>
        <w:szCs w:val="18"/>
      </w:rPr>
      <w:t xml:space="preserve">BMC Remedy RAG Agent - Frontend Layer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C2833"/>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C283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C2833"/>
      <w:sz w:val="24"/>
      <w:szCs w:val="24"/>
    </w:rPr>
  </w:style>
  <w:style w:type="paragraph" w:styleId="Code">
    <w:name w:val="Code"/>
    <w:basedOn w:val="Normal"/>
    <w:pPr>
      <w:spacing w:before="100" w:after="100"/>
    </w:pPr>
    <w:rPr>
      <w:rFonts w:ascii="Consolas" w:cs="Consolas" w:eastAsia="Consolas" w:hAnsi="Consola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2026-01-16T18:09:54.422Z</dcterms:created>
  <dcterms:modified xsi:type="dcterms:W3CDTF">2026-01-16T18:09:54.424Z</dcterms:modified>
</cp:coreProperties>
</file>

<file path=docProps/custom.xml><?xml version="1.0" encoding="utf-8"?>
<Properties xmlns="http://schemas.openxmlformats.org/officeDocument/2006/custom-properties" xmlns:vt="http://schemas.openxmlformats.org/officeDocument/2006/docPropsVTypes"/>
</file>