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b/>
          <w:bCs/>
          <w:caps/>
          <w:color w:val="1F3864"/>
          <w:sz w:val="28"/>
          <w:szCs w:val="28"/>
        </w:rPr>
        <w:t xml:space="preserve">ESCUELA SUPERIOR POLITÉCNICA DE CHIMBORAZO</w:t>
      </w:r>
    </w:p>
    <w:p>
      <w:r>
        <w:rPr>
          <w:color w:val="2E5496"/>
          <w:sz w:val="20"/>
          <w:szCs w:val="20"/>
        </w:rPr>
        <w:t xml:space="preserve">FACULTAD DE INFORMÁTICA Y ELECTRÓNICA  |  CARRERA SOFTWARE</w:t>
      </w:r>
    </w:p>
    <w:p>
      <w:pPr>
        <w:spacing w:after="400" w:before="80"/>
      </w:pPr>
      <w:r>
        <w:rPr>
          <w:i/>
          <w:iCs/>
          <w:color w:val="595959"/>
          <w:sz w:val="20"/>
          <w:szCs w:val="20"/>
        </w:rPr>
        <w:t xml:space="preserve">Desarrollo de un Sistema Informático de Gestión Clínica Optométrica</w:t>
      </w:r>
    </w:p>
    <w:p>
      <w:pPr>
        <w:pBdr>
          <w:bottom w:val="single" w:color="1F3864" w:sz="12"/>
        </w:pBdr>
        <w:spacing w:after="80" w:before="0"/>
      </w:pPr>
    </w:p>
    <w:p>
      <w:pPr>
        <w:spacing w:after="80" w:before="320"/>
        <w:jc w:val="center"/>
      </w:pPr>
      <w:r>
        <w:rPr>
          <w:b/>
          <w:bCs/>
          <w:caps/>
          <w:color w:val="1F3864"/>
          <w:sz w:val="36"/>
          <w:szCs w:val="36"/>
        </w:rPr>
        <w:t xml:space="preserve">INFORME TÉCNICO</w:t>
      </w:r>
    </w:p>
    <w:p>
      <w:pPr>
        <w:spacing w:after="60"/>
        <w:jc w:val="center"/>
      </w:pPr>
      <w:r>
        <w:rPr>
          <w:b/>
          <w:bCs/>
          <w:color w:val="2E5496"/>
          <w:sz w:val="22"/>
          <w:szCs w:val="22"/>
        </w:rPr>
        <w:t xml:space="preserve">LEVANTAMIENTO DE REQUERIMIENTOS — SEGUNDA ENTREVISTA ESTRUCTURADA</w:t>
      </w:r>
    </w:p>
    <w:p>
      <w:pPr>
        <w:spacing w:after="480"/>
        <w:jc w:val="center"/>
      </w:pPr>
      <w:r>
        <w:rPr>
          <w:i/>
          <w:iCs/>
          <w:color w:val="595959"/>
          <w:sz w:val="20"/>
          <w:szCs w:val="20"/>
        </w:rPr>
        <w:t xml:space="preserve">Análisis, validación y trazabilidad de requisitos con el stakeholder principal</w:t>
      </w:r>
    </w:p>
    <w:p>
      <w:pPr>
        <w:spacing w:after="40" w:before="80"/>
      </w:pPr>
      <w:r>
        <w:rPr>
          <w:b/>
          <w:bCs/>
          <w:color w:val="1F3864"/>
          <w:sz w:val="20"/>
          <w:szCs w:val="20"/>
        </w:rPr>
        <w:t xml:space="preserve">Elaborado por:</w:t>
      </w:r>
    </w:p>
    <w:p>
      <w:r>
        <w:rPr>
          <w:sz w:val="20"/>
          <w:szCs w:val="20"/>
        </w:rPr>
        <w:t xml:space="preserve">Figueroa Díaz, Omar Santiago  ·  Villalva Dumancela, Alexander Rafael</w:t>
      </w:r>
    </w:p>
    <w:p>
      <w:pPr>
        <w:spacing w:after="40" w:before="80"/>
      </w:pPr>
      <w:r>
        <w:rPr>
          <w:b/>
          <w:bCs/>
          <w:color w:val="1F3864"/>
          <w:sz w:val="20"/>
          <w:szCs w:val="20"/>
        </w:rPr>
        <w:t xml:space="preserve">Director:</w:t>
      </w:r>
    </w:p>
    <w:p>
      <w:r>
        <w:rPr>
          <w:sz w:val="20"/>
          <w:szCs w:val="20"/>
        </w:rPr>
        <w:t xml:space="preserve">Menéndez Verdecia, Jorge Ariel</w:t>
      </w:r>
    </w:p>
    <w:p>
      <w:pPr>
        <w:spacing w:after="40" w:before="80"/>
      </w:pPr>
      <w:r>
        <w:rPr>
          <w:b/>
          <w:bCs/>
          <w:color w:val="1F3864"/>
          <w:sz w:val="20"/>
          <w:szCs w:val="20"/>
        </w:rPr>
        <w:t xml:space="preserve">Revisión técnica:</w:t>
      </w:r>
    </w:p>
    <w:p>
      <w:r>
        <w:rPr>
          <w:sz w:val="20"/>
          <w:szCs w:val="20"/>
        </w:rPr>
        <w:t xml:space="preserve">Santillán Castillo, Julio Roberto (Asignatura Aplicaciones Informáticas II)</w:t>
      </w:r>
    </w:p>
    <w:p>
      <w:pPr>
        <w:spacing w:before="160"/>
      </w:pPr>
      <w:r>
        <w:rPr>
          <w:color w:val="595959"/>
          <w:sz w:val="20"/>
          <w:szCs w:val="20"/>
        </w:rPr>
        <w:t xml:space="preserve">Riobamba, Ecuador  ·  2026</w:t>
      </w:r>
    </w:p>
    <w:p>
      <w:pPr>
        <w:pageBreakBefore/>
      </w:pPr>
    </w:p>
    <w:p>
      <w:pPr>
        <w:pStyle w:val="Heading1"/>
        <w:spacing w:after="120" w:before="360"/>
        <w:rPr>
          <w:b/>
          <w:bCs/>
          <w:color w:val="1F3864"/>
          <w:sz w:val="28"/>
          <w:szCs w:val="28"/>
        </w:rPr>
      </w:pPr>
      <w:r>
        <w:t xml:space="preserve">1. IDENTIFICACIÓN DE LA SESIÓN</w:t>
      </w:r>
    </w:p>
    <w:p>
      <w:pPr>
        <w:spacing w:after="80" w:before="80"/>
      </w:pPr>
      <w:r>
        <w:rPr>
          <w:color w:val="1A1A2E"/>
          <w:sz w:val="20"/>
          <w:szCs w:val="20"/>
        </w:rPr>
        <w:t xml:space="preserve">La segunda entrevista estructurada constituye la sesión de seguimiento y profundización del levantamiento de requerimientos iniciado en la primera entrevista con el stakeholder principal de la Óptica de estudio. Esta sesión incorporó además la participación activa de los revisores técnicos del proyecto (Ing. Santillán e Ing. Menéndez), cuyas observaciones generaron decisiones de diseño con impacto directo sobre la arquitectura tecnológica y el modelo de datos del sistema.</w:t>
      </w:r>
    </w:p>
    <w:p>
      <w:pPr>
        <w:spacing w:after="160" w:before="160"/>
      </w:p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shd w:fill="2E5496" w:val="clear"/>
              <w:tcMar>
                <w:top w:type="dxa" w:w="80"/>
                <w:left w:type="dxa" w:w="120"/>
                <w:bottom w:type="dxa" w:w="80"/>
                <w:right w:type="dxa" w:w="120"/>
              </w:tcMar>
              <w:vAlign w:val="center"/>
            </w:tcPr>
            <w:p>
              <w:pPr>
                <w:jc w:val="center"/>
              </w:pPr>
              <w:r>
                <w:rPr>
                  <w:b/>
                  <w:bCs/>
                  <w:color w:val="FFFFFF"/>
                  <w:sz w:val="20"/>
                  <w:szCs w:val="20"/>
                </w:rPr>
                <w:t xml:space="preserve">FICHA DE LA SESIÓN</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Tipo de sesión</w:t>
              </w:r>
            </w:p>
          </w:tc>
          <w:tc>
            <w:tcPr>
              <w:tcMar>
                <w:top w:type="dxa" w:w="80"/>
                <w:left w:type="dxa" w:w="120"/>
                <w:bottom w:type="dxa" w:w="80"/>
                <w:right w:type="dxa" w:w="120"/>
              </w:tcMar>
              <w:vAlign w:val="center"/>
            </w:tcPr>
            <w:p>
              <w:pPr>
                <w:jc w:val="left"/>
              </w:pPr>
              <w:r>
                <w:rPr>
                  <w:color w:val="1A1A2E"/>
                  <w:sz w:val="18"/>
                  <w:szCs w:val="18"/>
                </w:rPr>
                <w:t xml:space="preserve">Entrevista estructurada – Segunda sesión (seguimiento y profundización de requerimientos)</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Fecha</w:t>
              </w:r>
            </w:p>
          </w:tc>
          <w:tc>
            <w:tcPr>
              <w:tcMar>
                <w:top w:type="dxa" w:w="80"/>
                <w:left w:type="dxa" w:w="120"/>
                <w:bottom w:type="dxa" w:w="80"/>
                <w:right w:type="dxa" w:w="120"/>
              </w:tcMar>
              <w:vAlign w:val="center"/>
            </w:tcPr>
            <w:p>
              <w:pPr>
                <w:jc w:val="left"/>
              </w:pPr>
              <w:r>
                <w:rPr>
                  <w:color w:val="1A1A2E"/>
                  <w:sz w:val="18"/>
                  <w:szCs w:val="18"/>
                </w:rPr>
                <w:t xml:space="preserve">Mayo 2026 — Período de levantamiento de requerimientos del anteproyecto</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Stakeholder entrevistado</w:t>
              </w:r>
            </w:p>
          </w:tc>
          <w:tc>
            <w:tcPr>
              <w:tcMar>
                <w:top w:type="dxa" w:w="80"/>
                <w:left w:type="dxa" w:w="120"/>
                <w:bottom w:type="dxa" w:w="80"/>
                <w:right w:type="dxa" w:w="120"/>
              </w:tcMar>
              <w:vAlign w:val="center"/>
            </w:tcPr>
            <w:p>
              <w:pPr>
                <w:jc w:val="left"/>
              </w:pPr>
              <w:r>
                <w:rPr>
                  <w:color w:val="1A1A2E"/>
                  <w:sz w:val="18"/>
                  <w:szCs w:val="18"/>
                </w:rPr>
                <w:t xml:space="preserve">Propietario / Optometrista principal — Óptica de estudio, Riobamba, Chimborazo</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Product Owner (PO)</w:t>
              </w:r>
            </w:p>
          </w:tc>
          <w:tc>
            <w:tcPr>
              <w:tcMar>
                <w:top w:type="dxa" w:w="80"/>
                <w:left w:type="dxa" w:w="120"/>
                <w:bottom w:type="dxa" w:w="80"/>
                <w:right w:type="dxa" w:w="120"/>
              </w:tcMar>
              <w:vAlign w:val="center"/>
            </w:tcPr>
            <w:p>
              <w:pPr>
                <w:jc w:val="left"/>
              </w:pPr>
              <w:r>
                <w:rPr>
                  <w:color w:val="1A1A2E"/>
                  <w:sz w:val="18"/>
                  <w:szCs w:val="18"/>
                </w:rPr>
                <w:t xml:space="preserve">Sebastián (miembro del equipo de desarrollo, rol declarado en la sesión)</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Revisores técnicos presentes</w:t>
              </w:r>
            </w:p>
          </w:tc>
          <w:tc>
            <w:tcPr>
              <w:tcMar>
                <w:top w:type="dxa" w:w="80"/>
                <w:left w:type="dxa" w:w="120"/>
                <w:bottom w:type="dxa" w:w="80"/>
                <w:right w:type="dxa" w:w="120"/>
              </w:tcMar>
              <w:vAlign w:val="center"/>
            </w:tcPr>
            <w:p>
              <w:pPr>
                <w:jc w:val="left"/>
              </w:pPr>
              <w:r>
                <w:rPr>
                  <w:color w:val="1A1A2E"/>
                  <w:sz w:val="18"/>
                  <w:szCs w:val="18"/>
                </w:rPr>
                <w:t xml:space="preserve">Ing. Santillán (accesibilidad / tecnología web) · Ing. Menéndez (base de datos / transacciones)</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Instrumento base</w:t>
              </w:r>
            </w:p>
          </w:tc>
          <w:tc>
            <w:tcPr>
              <w:tcMar>
                <w:top w:type="dxa" w:w="80"/>
                <w:left w:type="dxa" w:w="120"/>
                <w:bottom w:type="dxa" w:w="80"/>
                <w:right w:type="dxa" w:w="120"/>
              </w:tcMar>
              <w:vAlign w:val="center"/>
            </w:tcPr>
            <w:p>
              <w:pPr>
                <w:jc w:val="left"/>
              </w:pPr>
              <w:r>
                <w:rPr>
                  <w:color w:val="1A1A2E"/>
                  <w:sz w:val="18"/>
                  <w:szCs w:val="18"/>
                </w:rPr>
                <w:t xml:space="preserve">Guion de entrevista estructurada + hoja de análisis ANALISIS_ENTREVISTA_2.xlsx</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Marco metodológico</w:t>
              </w:r>
            </w:p>
          </w:tc>
          <w:tc>
            <w:tcPr>
              <w:tcMar>
                <w:top w:type="dxa" w:w="80"/>
                <w:left w:type="dxa" w:w="120"/>
                <w:bottom w:type="dxa" w:w="80"/>
                <w:right w:type="dxa" w:w="120"/>
              </w:tcMar>
              <w:vAlign w:val="center"/>
            </w:tcPr>
            <w:p>
              <w:pPr>
                <w:jc w:val="left"/>
              </w:pPr>
              <w:r>
                <w:rPr>
                  <w:color w:val="1A1A2E"/>
                  <w:sz w:val="18"/>
                  <w:szCs w:val="18"/>
                </w:rPr>
                <w:t xml:space="preserve">Scrum + Secure Scrum (S-Tags) · ISO/IEC 25010:2023 (Seguridad: integridad, responsabilidad, autenticidad)</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Alcance del sistema</w:t>
              </w:r>
            </w:p>
          </w:tc>
          <w:tc>
            <w:tcPr>
              <w:tcMar>
                <w:top w:type="dxa" w:w="80"/>
                <w:left w:type="dxa" w:w="120"/>
                <w:bottom w:type="dxa" w:w="80"/>
                <w:right w:type="dxa" w:w="120"/>
              </w:tcMar>
              <w:vAlign w:val="center"/>
            </w:tcPr>
            <w:p>
              <w:pPr>
                <w:jc w:val="left"/>
              </w:pPr>
              <w:r>
                <w:rPr>
                  <w:color w:val="1A1A2E"/>
                  <w:sz w:val="18"/>
                  <w:szCs w:val="18"/>
                </w:rPr>
                <w:t xml:space="preserve">5 módulos MVP: M1 Autenticación · M2 Pacientes · M3 Historia Clínica · M4 Pedidos · M5 Ventas y Cobros</w:t>
              </w:r>
            </w:p>
          </w:tc>
        </w:tr>
      </w:tbl>
    </w:p>
    <w:p>
      <w:pPr>
        <w:pBdr>
          <w:bottom w:val="single" w:color="2E75B6" w:sz="6"/>
        </w:pBdr>
        <w:spacing w:after="160" w:before="160"/>
      </w:pPr>
    </w:p>
    <w:p>
      <w:pPr>
        <w:pStyle w:val="Heading1"/>
        <w:spacing w:after="120" w:before="360"/>
        <w:rPr>
          <w:b/>
          <w:bCs/>
          <w:color w:val="1F3864"/>
          <w:sz w:val="28"/>
          <w:szCs w:val="28"/>
        </w:rPr>
      </w:pPr>
      <w:r>
        <w:t xml:space="preserve">2. OBJETIVO DE LA SESIÓN</w:t>
      </w:r>
    </w:p>
    <w:p>
      <w:pPr>
        <w:spacing w:after="80" w:before="80"/>
      </w:pPr>
      <w:r>
        <w:rPr>
          <w:color w:val="1A1A2E"/>
          <w:sz w:val="20"/>
          <w:szCs w:val="20"/>
        </w:rPr>
        <w:t xml:space="preserve">La segunda entrevista tuvo tres propósitos complementarios:</w:t>
      </w:r>
    </w:p>
    <w:p>
      <w:pPr>
        <w:spacing w:after="40" w:before="40"/>
        <w:ind w:left="360"/>
      </w:pPr>
      <w:r>
        <w:rPr>
          <w:b/>
          <w:bCs/>
          <w:color w:val="2E75B6"/>
          <w:sz w:val="20"/>
          <w:szCs w:val="20"/>
        </w:rPr>
        <w:t xml:space="preserve">1. </w:t>
      </w:r>
      <w:r>
        <w:rPr>
          <w:color w:val="1A1A2E"/>
          <w:sz w:val="20"/>
          <w:szCs w:val="20"/>
        </w:rPr>
        <w:t xml:space="preserve">Validar y profundizar los procesos clínicos y administrativos identificados en la primera sesión, obteniendo mayor detalle sobre los flujos de graduación, gestión de clientes, pedidos al laboratorio y ventas.</w:t>
      </w:r>
    </w:p>
    <w:p>
      <w:pPr>
        <w:spacing w:after="40" w:before="40"/>
        <w:ind w:left="360"/>
      </w:pPr>
      <w:r>
        <w:rPr>
          <w:b/>
          <w:bCs/>
          <w:color w:val="2E75B6"/>
          <w:sz w:val="20"/>
          <w:szCs w:val="20"/>
        </w:rPr>
        <w:t xml:space="preserve">2. </w:t>
      </w:r>
      <w:r>
        <w:rPr>
          <w:color w:val="1A1A2E"/>
          <w:sz w:val="20"/>
          <w:szCs w:val="20"/>
        </w:rPr>
        <w:t xml:space="preserve">Resolver dudas técnicas específicas planteadas por el equipo de desarrollo, en particular sobre certificados laborales, categorías de productos, operaciones trazables y necesidades de acceso remoto.</w:t>
      </w:r>
    </w:p>
    <w:p>
      <w:pPr>
        <w:spacing w:after="40" w:before="40"/>
        <w:ind w:left="360"/>
      </w:pPr>
      <w:r>
        <w:rPr>
          <w:b/>
          <w:bCs/>
          <w:color w:val="2E75B6"/>
          <w:sz w:val="20"/>
          <w:szCs w:val="20"/>
        </w:rPr>
        <w:t xml:space="preserve">3. </w:t>
      </w:r>
      <w:r>
        <w:rPr>
          <w:color w:val="1A1A2E"/>
          <w:sz w:val="20"/>
          <w:szCs w:val="20"/>
        </w:rPr>
        <w:t xml:space="preserve">Obtener los insumos necesarios para validar y completar la Matriz de Requisitos Funcionales y No Funcionales (RF/RNF) alineada a ISO/IEC 25010:2023 y al modelo Secure Scrum con etiquetas S-Tag.</w:t>
      </w:r>
    </w:p>
    <w:p>
      <w:pPr>
        <w:pBdr>
          <w:bottom w:val="single" w:color="2E75B6" w:sz="6"/>
        </w:pBdr>
        <w:spacing w:after="160" w:before="160"/>
      </w:pPr>
    </w:p>
    <w:p>
      <w:pPr>
        <w:pStyle w:val="Heading1"/>
        <w:spacing w:after="120" w:before="360"/>
        <w:rPr>
          <w:b/>
          <w:bCs/>
          <w:color w:val="1F3864"/>
          <w:sz w:val="28"/>
          <w:szCs w:val="28"/>
        </w:rPr>
      </w:pPr>
      <w:r>
        <w:t xml:space="preserve">3. HALLAZGOS POR MÓDULO Y REQUISITOS DERIVADOS</w:t>
      </w:r>
    </w:p>
    <w:p>
      <w:pPr>
        <w:spacing w:after="80" w:before="80"/>
      </w:pPr>
      <w:r>
        <w:rPr>
          <w:color w:val="1A1A2E"/>
          <w:sz w:val="20"/>
          <w:szCs w:val="20"/>
        </w:rPr>
        <w:t xml:space="preserve">A continuación se detallan los hallazgos obtenidos durante la sesión, organizados por módulo del MVP, con su correspondiente requisito derivado y alineación normativa:</w:t>
      </w:r>
    </w:p>
    <w:p>
      <w:pPr>
        <w:spacing w:after="160" w:before="120"/>
      </w:p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shd w:fill="2E5496" w:val="clear"/>
              <w:tcMar>
                <w:top w:type="dxa" w:w="80"/>
                <w:left w:type="dxa" w:w="120"/>
                <w:bottom w:type="dxa" w:w="80"/>
                <w:right w:type="dxa" w:w="120"/>
              </w:tcMar>
              <w:vAlign w:val="center"/>
            </w:tcPr>
            <w:p>
              <w:pPr>
                <w:jc w:val="center"/>
              </w:pPr>
              <w:r>
                <w:rPr>
                  <w:b/>
                  <w:bCs/>
                  <w:color w:val="FFFFFF"/>
                  <w:sz w:val="18"/>
                  <w:szCs w:val="18"/>
                </w:rPr>
                <w:t xml:space="preserve">MÓDULO</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HALLAZGO DECLARADO POR EL USUARIO</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REQUISITO DERIVADO / ALINEACIÓN</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M1 — Autenticación</w:t>
              </w:r>
            </w:p>
          </w:tc>
          <w:tc>
            <w:tcPr>
              <w:tcMar>
                <w:top w:type="dxa" w:w="80"/>
                <w:left w:type="dxa" w:w="120"/>
                <w:bottom w:type="dxa" w:w="80"/>
                <w:right w:type="dxa" w:w="120"/>
              </w:tcMar>
              <w:vAlign w:val="center"/>
            </w:tcPr>
            <w:p>
              <w:pPr>
                <w:jc w:val="left"/>
              </w:pPr>
              <w:r>
                <w:rPr>
                  <w:color w:val="1A1A2E"/>
                  <w:sz w:val="18"/>
                  <w:szCs w:val="18"/>
                </w:rPr>
                <w:t xml:space="preserve">Se requieren dos roles definidos: Gerente y Asistente. Se necesita identificar qué usuario ejecuta operaciones sensibles (ventas, devoluciones).</w:t>
              </w:r>
            </w:p>
          </w:tc>
          <w:tc>
            <w:tcPr>
              <w:tcMar>
                <w:top w:type="dxa" w:w="80"/>
                <w:left w:type="dxa" w:w="120"/>
                <w:bottom w:type="dxa" w:w="80"/>
                <w:right w:type="dxa" w:w="120"/>
              </w:tcMar>
              <w:vAlign w:val="center"/>
            </w:tcPr>
            <w:p>
              <w:pPr>
                <w:jc w:val="left"/>
              </w:pPr>
              <w:r>
                <w:rPr>
                  <w:color w:val="1A1A2E"/>
                  <w:sz w:val="18"/>
                  <w:szCs w:val="18"/>
                </w:rPr>
                <w:t xml:space="preserve">RF-01: RBAC con 3 perfiles (Administrador, Optometrista, Asistente). RF-02: Sesiones JWT acotadas. RNF-01/02 [SEC-AUT-01/02]. Trazabilidad de actor (responsabilidad).</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M2 — Pacientes</w:t>
              </w:r>
            </w:p>
          </w:tc>
          <w:tc>
            <w:tcPr>
              <w:tcMar>
                <w:top w:type="dxa" w:w="80"/>
                <w:left w:type="dxa" w:w="120"/>
                <w:bottom w:type="dxa" w:w="80"/>
                <w:right w:type="dxa" w:w="120"/>
              </w:tcMar>
              <w:vAlign w:val="center"/>
            </w:tcPr>
            <w:p>
              <w:pPr>
                <w:jc w:val="left"/>
              </w:pPr>
              <w:r>
                <w:rPr>
                  <w:color w:val="1A1A2E"/>
                  <w:sz w:val="18"/>
                  <w:szCs w:val="18"/>
                </w:rPr>
                <w:t xml:space="preserve">El módulo debe ofrecer búsqueda predictiva y filtrado. Tras filtrar, debe ser posible exportar datos clínicos con identidad corporativa de la óptica.</w:t>
              </w:r>
            </w:p>
          </w:tc>
          <w:tc>
            <w:tcPr>
              <w:tcMar>
                <w:top w:type="dxa" w:w="80"/>
                <w:left w:type="dxa" w:w="120"/>
                <w:bottom w:type="dxa" w:w="80"/>
                <w:right w:type="dxa" w:w="120"/>
              </w:tcMar>
              <w:vAlign w:val="center"/>
            </w:tcPr>
            <w:p>
              <w:pPr>
                <w:jc w:val="left"/>
              </w:pPr>
              <w:r>
                <w:rPr>
                  <w:color w:val="1A1A2E"/>
                  <w:sz w:val="18"/>
                  <w:szCs w:val="18"/>
                </w:rPr>
                <w:t xml:space="preserve">RF-03: Registro demográfico. RF-05: Autocompletado por nombre/cédula. RF-04: Menores sin cédula obligatoria. Exportación con marca corporativa (fuera del MVP, documentado como RF-FUT).</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M3 — Historia Clínica</w:t>
              </w:r>
            </w:p>
          </w:tc>
          <w:tc>
            <w:tcPr>
              <w:tcMar>
                <w:top w:type="dxa" w:w="80"/>
                <w:left w:type="dxa" w:w="120"/>
                <w:bottom w:type="dxa" w:w="80"/>
                <w:right w:type="dxa" w:w="120"/>
              </w:tcMar>
              <w:vAlign w:val="center"/>
            </w:tcPr>
            <w:p>
              <w:pPr>
                <w:jc w:val="left"/>
              </w:pPr>
              <w:r>
                <w:rPr>
                  <w:color w:val="1A1A2E"/>
                  <w:sz w:val="18"/>
                  <w:szCs w:val="18"/>
                </w:rPr>
                <w:t xml:space="preserve">La graduación puede originarse en el propio negocio o traerse de un especialista externo (oftalmólogo). Debe registrarse el origen. Incluye afecciones oftalmológicas como submódulo.</w:t>
              </w:r>
            </w:p>
          </w:tc>
          <w:tc>
            <w:tcPr>
              <w:tcMar>
                <w:top w:type="dxa" w:w="80"/>
                <w:left w:type="dxa" w:w="120"/>
                <w:bottom w:type="dxa" w:w="80"/>
                <w:right w:type="dxa" w:w="120"/>
              </w:tcMar>
              <w:vAlign w:val="center"/>
            </w:tcPr>
            <w:p>
              <w:pPr>
                <w:jc w:val="left"/>
              </w:pPr>
              <w:r>
                <w:rPr>
                  <w:color w:val="1A1A2E"/>
                  <w:sz w:val="18"/>
                  <w:szCs w:val="18"/>
                </w:rPr>
                <w:t xml:space="preserve">RF-07 a RF-13: Parámetros refractivos completos (Sph, Cyl, Axis, Add, Prismas). RF-13: Anamnesis CIE-10 y hallazgos clínicos. Origen de graduación → campo 'especialista / interno'. RNF-05 [SEC-INT-03]: no sobreescritura de registros históricos.</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M3 — Certificados</w:t>
              </w:r>
            </w:p>
          </w:tc>
          <w:tc>
            <w:tcPr>
              <w:tcMar>
                <w:top w:type="dxa" w:w="80"/>
                <w:left w:type="dxa" w:w="120"/>
                <w:bottom w:type="dxa" w:w="80"/>
                <w:right w:type="dxa" w:w="120"/>
              </w:tcMar>
              <w:vAlign w:val="center"/>
            </w:tcPr>
            <w:p>
              <w:pPr>
                <w:jc w:val="left"/>
              </w:pPr>
              <w:r>
                <w:rPr>
                  <w:color w:val="1A1A2E"/>
                  <w:sz w:val="18"/>
                  <w:szCs w:val="18"/>
                </w:rPr>
                <w:t xml:space="preserve">El sistema actual genera certificados laborales. El usuario solicita mantener esta funcionalidad.</w:t>
              </w:r>
            </w:p>
          </w:tc>
          <w:tc>
            <w:tcPr>
              <w:tcMar>
                <w:top w:type="dxa" w:w="80"/>
                <w:left w:type="dxa" w:w="120"/>
                <w:bottom w:type="dxa" w:w="80"/>
                <w:right w:type="dxa" w:w="120"/>
              </w:tcMar>
              <w:vAlign w:val="center"/>
            </w:tcPr>
            <w:p>
              <w:pPr>
                <w:jc w:val="left"/>
              </w:pPr>
              <w:r>
                <w:rPr>
                  <w:color w:val="1A1A2E"/>
                  <w:sz w:val="18"/>
                  <w:szCs w:val="18"/>
                </w:rPr>
                <w:t xml:space="preserve">RF-14: Generación e impresión de certificados visuales de aptitud laboral con datos del paciente, diagnóstico y recomendaciones.</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M4 — Pedidos Lab.</w:t>
              </w:r>
            </w:p>
          </w:tc>
          <w:tc>
            <w:tcPr>
              <w:tcMar>
                <w:top w:type="dxa" w:w="80"/>
                <w:left w:type="dxa" w:w="120"/>
                <w:bottom w:type="dxa" w:w="80"/>
                <w:right w:type="dxa" w:w="120"/>
              </w:tcMar>
              <w:vAlign w:val="center"/>
            </w:tcPr>
            <w:p>
              <w:pPr>
                <w:jc w:val="left"/>
              </w:pPr>
              <w:r>
                <w:rPr>
                  <w:color w:val="1A1A2E"/>
                  <w:sz w:val="18"/>
                  <w:szCs w:val="18"/>
                </w:rPr>
                <w:t xml:space="preserve">Existe un formato físico de especificación de pedido para el laboratorio. Todos los datos del cliente y del pedido deben constar. Solicitud de control de citas pendientes.</w:t>
              </w:r>
            </w:p>
          </w:tc>
          <w:tc>
            <w:tcPr>
              <w:tcMar>
                <w:top w:type="dxa" w:w="80"/>
                <w:left w:type="dxa" w:w="120"/>
                <w:bottom w:type="dxa" w:w="80"/>
                <w:right w:type="dxa" w:w="120"/>
              </w:tcMar>
              <w:vAlign w:val="center"/>
            </w:tcPr>
            <w:p>
              <w:pPr>
                <w:jc w:val="left"/>
              </w:pPr>
              <w:r>
                <w:rPr>
                  <w:color w:val="1A1A2E"/>
                  <w:sz w:val="18"/>
                  <w:szCs w:val="18"/>
                </w:rPr>
                <w:t xml:space="preserve">RF-16/17: Orden de laboratorio digital con parámetros ópticos. RF-18: Flujo de estados (Pendiente→Enviado→Recibido→Entregado). RF-19: Rectificaciones. Citas pendientes → RF-FUT (fuera del MVP).</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M5 — Ventas</w:t>
              </w:r>
            </w:p>
          </w:tc>
          <w:tc>
            <w:tcPr>
              <w:tcMar>
                <w:top w:type="dxa" w:w="80"/>
                <w:left w:type="dxa" w:w="120"/>
                <w:bottom w:type="dxa" w:w="80"/>
                <w:right w:type="dxa" w:w="120"/>
              </w:tcMar>
              <w:vAlign w:val="center"/>
            </w:tcPr>
            <w:p>
              <w:pPr>
                <w:jc w:val="left"/>
              </w:pPr>
              <w:r>
                <w:rPr>
                  <w:color w:val="1A1A2E"/>
                  <w:sz w:val="18"/>
                  <w:szCs w:val="18"/>
                </w:rPr>
                <w:t xml:space="preserve">El inventario de armazones se descontinúa rápido. El usuario prefiere clasificar por precio, no por modelo. Al anular, se revierten flujos de dinero y stock.</w:t>
              </w:r>
            </w:p>
          </w:tc>
          <w:tc>
            <w:tcPr>
              <w:tcMar>
                <w:top w:type="dxa" w:w="80"/>
                <w:left w:type="dxa" w:w="120"/>
                <w:bottom w:type="dxa" w:w="80"/>
                <w:right w:type="dxa" w:w="120"/>
              </w:tcMar>
              <w:vAlign w:val="center"/>
            </w:tcPr>
            <w:p>
              <w:pPr>
                <w:jc w:val="left"/>
              </w:pPr>
              <w:r>
                <w:rPr>
                  <w:color w:val="1A1A2E"/>
                  <w:sz w:val="18"/>
                  <w:szCs w:val="18"/>
                </w:rPr>
                <w:t xml:space="preserve">RF-21: Gestión híbrida de inventario (armazones por rango de precio; consumibles por unidad). RF-22: Anulación atómica con reversa de caja y stock [SEC-RES-01]. RF-20: Comprobante interno secuencial.</w:t>
              </w:r>
            </w:p>
          </w:tc>
        </w:tr>
      </w:tbl>
    </w:p>
    <w:p>
      <w:pPr>
        <w:pBdr>
          <w:bottom w:val="single" w:color="2E75B6" w:sz="6"/>
        </w:pBdr>
        <w:spacing w:after="160" w:before="160"/>
      </w:pPr>
    </w:p>
    <w:p>
      <w:pPr>
        <w:pStyle w:val="Heading1"/>
        <w:spacing w:after="120" w:before="360"/>
        <w:rPr>
          <w:b/>
          <w:bCs/>
          <w:color w:val="1F3864"/>
          <w:sz w:val="28"/>
          <w:szCs w:val="28"/>
        </w:rPr>
      </w:pPr>
      <w:r>
        <w:t xml:space="preserve">4. DECISIONES TÉCNICAS Y DE DISEÑO</w:t>
      </w:r>
    </w:p>
    <w:p>
      <w:pPr>
        <w:spacing w:after="80" w:before="80"/>
      </w:pPr>
      <w:r>
        <w:rPr>
          <w:color w:val="1A1A2E"/>
          <w:sz w:val="20"/>
          <w:szCs w:val="20"/>
        </w:rPr>
        <w:t xml:space="preserve">Durante la sesión se generaron decisiones de diseño a partir de las consultas técnicas de los revisores y del Product Owner. Cada decisión tiene impacto verificable sobre al menos un requisito del sistema:</w:t>
      </w:r>
    </w:p>
    <w:p>
      <w:pPr>
        <w:spacing w:after="160" w:before="120"/>
      </w:p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c>
            <w:tcPr>
              <w:shd w:fill="2E5496" w:val="clear"/>
              <w:tcMar>
                <w:top w:type="dxa" w:w="80"/>
                <w:left w:type="dxa" w:w="120"/>
                <w:bottom w:type="dxa" w:w="80"/>
                <w:right w:type="dxa" w:w="120"/>
              </w:tcMar>
              <w:vAlign w:val="center"/>
            </w:tcPr>
            <w:p>
              <w:pPr>
                <w:jc w:val="center"/>
              </w:pPr>
              <w:r>
                <w:rPr>
                  <w:b/>
                  <w:bCs/>
                  <w:color w:val="FFFFFF"/>
                  <w:sz w:val="18"/>
                  <w:szCs w:val="18"/>
                </w:rPr>
                <w:t xml:space="preserve">ORIGEN</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OBSERVACIÓN / CONSULTA</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DECISIÓN ADOPTADA</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IMPACTO EN EL SISTEMA</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Ing. Santillán</w:t>
              </w:r>
            </w:p>
          </w:tc>
          <w:tc>
            <w:tcPr>
              <w:tcMar>
                <w:top w:type="dxa" w:w="80"/>
                <w:left w:type="dxa" w:w="120"/>
                <w:bottom w:type="dxa" w:w="80"/>
                <w:right w:type="dxa" w:w="120"/>
              </w:tcMar>
              <w:vAlign w:val="center"/>
            </w:tcPr>
            <w:p>
              <w:pPr>
                <w:jc w:val="left"/>
              </w:pPr>
              <w:r>
                <w:rPr>
                  <w:color w:val="1A1A2E"/>
                  <w:sz w:val="18"/>
                  <w:szCs w:val="18"/>
                </w:rPr>
                <w:t xml:space="preserve">El usuario requiere acceso a expedientes, formularios y tableros desde casa (acceso remoto).</w:t>
              </w:r>
            </w:p>
          </w:tc>
          <w:tc>
            <w:tcPr>
              <w:tcMar>
                <w:top w:type="dxa" w:w="80"/>
                <w:left w:type="dxa" w:w="120"/>
                <w:bottom w:type="dxa" w:w="80"/>
                <w:right w:type="dxa" w:w="120"/>
              </w:tcMar>
              <w:vAlign w:val="center"/>
            </w:tcPr>
            <w:p>
              <w:pPr>
                <w:jc w:val="left"/>
              </w:pPr>
              <w:r>
                <w:rPr>
                  <w:color w:val="1A1A2E"/>
                  <w:sz w:val="18"/>
                  <w:szCs w:val="18"/>
                </w:rPr>
                <w:t xml:space="preserve">Arquitectura web (React + Laravel). Considerar PWA (Progressive Web App) para Android.</w:t>
              </w:r>
            </w:p>
          </w:tc>
          <w:tc>
            <w:tcPr>
              <w:tcMar>
                <w:top w:type="dxa" w:w="80"/>
                <w:left w:type="dxa" w:w="120"/>
                <w:bottom w:type="dxa" w:w="80"/>
                <w:right w:type="dxa" w:w="120"/>
              </w:tcMar>
              <w:vAlign w:val="center"/>
            </w:tcPr>
            <w:p>
              <w:pPr>
                <w:jc w:val="left"/>
              </w:pPr>
              <w:r>
                <w:rPr>
                  <w:color w:val="1A1A2E"/>
                  <w:sz w:val="18"/>
                  <w:szCs w:val="18"/>
                </w:rPr>
                <w:t xml:space="preserve">RNF-07: Diseño responsivo. Tecnología web seleccionada. Compatibilidad mobile sin app nativa.</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Ing. Menéndez</w:t>
              </w:r>
            </w:p>
          </w:tc>
          <w:tc>
            <w:tcPr>
              <w:tcMar>
                <w:top w:type="dxa" w:w="80"/>
                <w:left w:type="dxa" w:w="120"/>
                <w:bottom w:type="dxa" w:w="80"/>
                <w:right w:type="dxa" w:w="120"/>
              </w:tcMar>
              <w:vAlign w:val="center"/>
            </w:tcPr>
            <w:p>
              <w:pPr>
                <w:jc w:val="left"/>
              </w:pPr>
              <w:r>
                <w:rPr>
                  <w:color w:val="1A1A2E"/>
                  <w:sz w:val="18"/>
                  <w:szCs w:val="18"/>
                </w:rPr>
                <w:t xml:space="preserve">Simplificación de campos no utilizados (email, teléfono local). Flexibilidad para agregar campos.</w:t>
              </w:r>
            </w:p>
          </w:tc>
          <w:tc>
            <w:tcPr>
              <w:tcMar>
                <w:top w:type="dxa" w:w="80"/>
                <w:left w:type="dxa" w:w="120"/>
                <w:bottom w:type="dxa" w:w="80"/>
                <w:right w:type="dxa" w:w="120"/>
              </w:tcMar>
              <w:vAlign w:val="center"/>
            </w:tcPr>
            <w:p>
              <w:pPr>
                <w:jc w:val="left"/>
              </w:pPr>
              <w:r>
                <w:rPr>
                  <w:color w:val="1A1A2E"/>
                  <w:sz w:val="18"/>
                  <w:szCs w:val="18"/>
                </w:rPr>
                <w:t xml:space="preserve">Optimizar el modelo de datos: omitir campos no operativos. Diseñar estructura flexible/extensible.</w:t>
              </w:r>
            </w:p>
          </w:tc>
          <w:tc>
            <w:tcPr>
              <w:tcMar>
                <w:top w:type="dxa" w:w="80"/>
                <w:left w:type="dxa" w:w="120"/>
                <w:bottom w:type="dxa" w:w="80"/>
                <w:right w:type="dxa" w:w="120"/>
              </w:tcMar>
              <w:vAlign w:val="center"/>
            </w:tcPr>
            <w:p>
              <w:pPr>
                <w:jc w:val="left"/>
              </w:pPr>
              <w:r>
                <w:rPr>
                  <w:color w:val="1A1A2E"/>
                  <w:sz w:val="18"/>
                  <w:szCs w:val="18"/>
                </w:rPr>
                <w:t xml:space="preserve">Reduce deuda técnica y mejora la UX. Impacta el DER (9 entidades) y las pantallas de formulario.</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Ing. Menéndez</w:t>
              </w:r>
            </w:p>
          </w:tc>
          <w:tc>
            <w:tcPr>
              <w:tcMar>
                <w:top w:type="dxa" w:w="80"/>
                <w:left w:type="dxa" w:w="120"/>
                <w:bottom w:type="dxa" w:w="80"/>
                <w:right w:type="dxa" w:w="120"/>
              </w:tcMar>
              <w:vAlign w:val="center"/>
            </w:tcPr>
            <w:p>
              <w:pPr>
                <w:jc w:val="left"/>
              </w:pPr>
              <w:r>
                <w:rPr>
                  <w:color w:val="1A1A2E"/>
                  <w:sz w:val="18"/>
                  <w:szCs w:val="18"/>
                </w:rPr>
                <w:t xml:space="preserve">Ventas y su reversión (incluyendo reposición de stock) son módulos correlacionados en un proceso transaccional.</w:t>
              </w:r>
            </w:p>
          </w:tc>
          <w:tc>
            <w:tcPr>
              <w:tcMar>
                <w:top w:type="dxa" w:w="80"/>
                <w:left w:type="dxa" w:w="120"/>
                <w:bottom w:type="dxa" w:w="80"/>
                <w:right w:type="dxa" w:w="120"/>
              </w:tcMar>
              <w:vAlign w:val="center"/>
            </w:tcPr>
            <w:p>
              <w:pPr>
                <w:jc w:val="left"/>
              </w:pPr>
              <w:r>
                <w:rPr>
                  <w:color w:val="1A1A2E"/>
                  <w:sz w:val="18"/>
                  <w:szCs w:val="18"/>
                </w:rPr>
                <w:t xml:space="preserve">Implementar M5 con transaccionalidad ACID: la anulación opera como una transacción atómica única.</w:t>
              </w:r>
            </w:p>
          </w:tc>
          <w:tc>
            <w:tcPr>
              <w:tcMar>
                <w:top w:type="dxa" w:w="80"/>
                <w:left w:type="dxa" w:w="120"/>
                <w:bottom w:type="dxa" w:w="80"/>
                <w:right w:type="dxa" w:w="120"/>
              </w:tcMar>
              <w:vAlign w:val="center"/>
            </w:tcPr>
            <w:p>
              <w:pPr>
                <w:jc w:val="left"/>
              </w:pPr>
              <w:r>
                <w:rPr>
                  <w:color w:val="1A1A2E"/>
                  <w:sz w:val="18"/>
                  <w:szCs w:val="18"/>
                </w:rPr>
                <w:t xml:space="preserve">RF-22 + RNF-04 [SEC-INT-02]: atomicidad PostgreSQL garantiza que caja y stock se revierten juntos o ninguno.</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Sebastián (PO)</w:t>
              </w:r>
            </w:p>
          </w:tc>
          <w:tc>
            <w:tcPr>
              <w:tcMar>
                <w:top w:type="dxa" w:w="80"/>
                <w:left w:type="dxa" w:w="120"/>
                <w:bottom w:type="dxa" w:w="80"/>
                <w:right w:type="dxa" w:w="120"/>
              </w:tcMar>
              <w:vAlign w:val="center"/>
            </w:tcPr>
            <w:p>
              <w:pPr>
                <w:jc w:val="left"/>
              </w:pPr>
              <w:r>
                <w:rPr>
                  <w:color w:val="1A1A2E"/>
                  <w:sz w:val="18"/>
                  <w:szCs w:val="18"/>
                </w:rPr>
                <w:t xml:space="preserve">¿Es necesario registrar el origen de la graduación (interna vs. derivada por oftalmólogo)?</w:t>
              </w:r>
            </w:p>
          </w:tc>
          <w:tc>
            <w:tcPr>
              <w:tcMar>
                <w:top w:type="dxa" w:w="80"/>
                <w:left w:type="dxa" w:w="120"/>
                <w:bottom w:type="dxa" w:w="80"/>
                <w:right w:type="dxa" w:w="120"/>
              </w:tcMar>
              <w:vAlign w:val="center"/>
            </w:tcPr>
            <w:p>
              <w:pPr>
                <w:jc w:val="left"/>
              </w:pPr>
              <w:r>
                <w:rPr>
                  <w:color w:val="1A1A2E"/>
                  <w:sz w:val="18"/>
                  <w:szCs w:val="18"/>
                </w:rPr>
                <w:t xml:space="preserve">Sí. Añadir campo 'origen de graduación' (Interno / Especialista externo) al formulario de historia clínica.</w:t>
              </w:r>
            </w:p>
          </w:tc>
          <w:tc>
            <w:tcPr>
              <w:tcMar>
                <w:top w:type="dxa" w:w="80"/>
                <w:left w:type="dxa" w:w="120"/>
                <w:bottom w:type="dxa" w:w="80"/>
                <w:right w:type="dxa" w:w="120"/>
              </w:tcMar>
              <w:vAlign w:val="center"/>
            </w:tcPr>
            <w:p>
              <w:pPr>
                <w:jc w:val="left"/>
              </w:pPr>
              <w:r>
                <w:rPr>
                  <w:color w:val="1A1A2E"/>
                  <w:sz w:val="18"/>
                  <w:szCs w:val="18"/>
                </w:rPr>
                <w:t xml:space="preserve">Enriquece RF-07 y el subformulario de oftalmología. Relevante para auditoría clínica (responsabilidad).</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Sebastián (PO)</w:t>
              </w:r>
            </w:p>
          </w:tc>
          <w:tc>
            <w:tcPr>
              <w:tcMar>
                <w:top w:type="dxa" w:w="80"/>
                <w:left w:type="dxa" w:w="120"/>
                <w:bottom w:type="dxa" w:w="80"/>
                <w:right w:type="dxa" w:w="120"/>
              </w:tcMar>
              <w:vAlign w:val="center"/>
            </w:tcPr>
            <w:p>
              <w:pPr>
                <w:jc w:val="left"/>
              </w:pPr>
              <w:r>
                <w:rPr>
                  <w:color w:val="1A1A2E"/>
                  <w:sz w:val="18"/>
                  <w:szCs w:val="18"/>
                </w:rPr>
                <w:t xml:space="preserve">¿Qué otras operaciones, además de ventas y devoluciones, deben ser identificadas por usuario?</w:t>
              </w:r>
            </w:p>
          </w:tc>
          <w:tc>
            <w:tcPr>
              <w:tcMar>
                <w:top w:type="dxa" w:w="80"/>
                <w:left w:type="dxa" w:w="120"/>
                <w:bottom w:type="dxa" w:w="80"/>
                <w:right w:type="dxa" w:w="120"/>
              </w:tcMar>
              <w:vAlign w:val="center"/>
            </w:tcPr>
            <w:p>
              <w:pPr>
                <w:jc w:val="left"/>
              </w:pPr>
              <w:r>
                <w:rPr>
                  <w:color w:val="1A1A2E"/>
                  <w:sz w:val="18"/>
                  <w:szCs w:val="18"/>
                </w:rPr>
                <w:t xml:space="preserve">Identificación de usuario en: creación/modificación de HC, generación de pedidos, anulaciones.</w:t>
              </w:r>
            </w:p>
          </w:tc>
          <w:tc>
            <w:tcPr>
              <w:tcMar>
                <w:top w:type="dxa" w:w="80"/>
                <w:left w:type="dxa" w:w="120"/>
                <w:bottom w:type="dxa" w:w="80"/>
                <w:right w:type="dxa" w:w="120"/>
              </w:tcMar>
              <w:vAlign w:val="center"/>
            </w:tcPr>
            <w:p>
              <w:pPr>
                <w:jc w:val="left"/>
              </w:pPr>
              <w:r>
                <w:rPr>
                  <w:color w:val="1A1A2E"/>
                  <w:sz w:val="18"/>
                  <w:szCs w:val="18"/>
                </w:rPr>
                <w:t xml:space="preserve">RNF-06 [SEC-RES-01]: Audit Log ampliado — todas las escrituras quedan atribuidas a un usuario_id.</w:t>
              </w:r>
            </w:p>
          </w:tc>
        </w:tr>
      </w:tbl>
    </w:p>
    <w:p>
      <w:pPr>
        <w:pBdr>
          <w:bottom w:val="single" w:color="2E75B6" w:sz="6"/>
        </w:pBdr>
        <w:spacing w:after="160" w:before="160"/>
      </w:pPr>
    </w:p>
    <w:p>
      <w:pPr>
        <w:pStyle w:val="Heading1"/>
        <w:spacing w:after="120" w:before="360"/>
        <w:rPr>
          <w:b/>
          <w:bCs/>
          <w:color w:val="1F3864"/>
          <w:sz w:val="28"/>
          <w:szCs w:val="28"/>
        </w:rPr>
      </w:pPr>
      <w:r>
        <w:t xml:space="preserve">5. TRAZABILIDAD SECURE SCRUM — S-TAGS DE SEGURIDAD</w:t>
      </w:r>
    </w:p>
    <w:p>
      <w:pPr>
        <w:spacing w:after="80" w:before="80"/>
      </w:pPr>
      <w:r>
        <w:rPr>
          <w:color w:val="1A1A2E"/>
          <w:sz w:val="20"/>
          <w:szCs w:val="20"/>
        </w:rPr>
        <w:t xml:space="preserve">Los requisitos no funcionales de seguridad derivados de esta sesión se identifican mediante etiquetas S-Tag conforme al enfoque Secure Scrum (Pohl y Hof, 2015), vinculándolos a las tres subcaracterísticas de seguridad adoptadas en el objetivo específico 4 del anteproyecto (ISO/IEC 25010:2023):</w:t>
      </w:r>
    </w:p>
    <w:p>
      <w:pPr>
        <w:spacing w:after="160" w:before="120"/>
      </w:p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400"/>
          <w:gridCol w:w="1760"/>
        </w:tblGrid>
        <w:tr>
          <w:tc>
            <w:tcPr>
              <w:shd w:fill="2E5496" w:val="clear"/>
              <w:tcMar>
                <w:top w:type="dxa" w:w="80"/>
                <w:left w:type="dxa" w:w="120"/>
                <w:bottom w:type="dxa" w:w="80"/>
                <w:right w:type="dxa" w:w="120"/>
              </w:tcMar>
              <w:vAlign w:val="center"/>
            </w:tcPr>
            <w:p>
              <w:pPr>
                <w:jc w:val="center"/>
              </w:pPr>
              <w:r>
                <w:rPr>
                  <w:b/>
                  <w:bCs/>
                  <w:color w:val="FFFFFF"/>
                  <w:sz w:val="18"/>
                  <w:szCs w:val="18"/>
                </w:rPr>
                <w:t xml:space="preserve">ID</w:t>
              </w:r>
            </w:p>
          </w:tc>
          <w:tc>
            <w:tcPr>
              <w:shd w:fill="2E5496" w:val="clear"/>
              <w:tcMar>
                <w:top w:type="dxa" w:w="80"/>
                <w:left w:type="dxa" w:w="120"/>
                <w:bottom w:type="dxa" w:w="80"/>
                <w:right w:type="dxa" w:w="120"/>
              </w:tcMar>
              <w:vAlign w:val="center"/>
            </w:tcPr>
            <w:p>
              <w:pPr>
                <w:jc w:val="center"/>
              </w:pPr>
              <w:r>
                <w:rPr>
                  <w:b/>
                  <w:bCs/>
                  <w:color w:val="FFFFFF"/>
                  <w:sz w:val="18"/>
                  <w:szCs w:val="18"/>
                </w:rPr>
                <w:t xml:space="preserve">S-TAG</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HALLAZGO EN ENTREVISTA</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REQUISITO DERIVADO</w:t>
              </w:r>
            </w:p>
          </w:tc>
          <w:tc>
            <w:tcPr>
              <w:shd w:fill="2E5496" w:val="clear"/>
              <w:tcMar>
                <w:top w:type="dxa" w:w="80"/>
                <w:left w:type="dxa" w:w="120"/>
                <w:bottom w:type="dxa" w:w="80"/>
                <w:right w:type="dxa" w:w="120"/>
              </w:tcMar>
              <w:vAlign w:val="center"/>
            </w:tcPr>
            <w:p>
              <w:pPr>
                <w:jc w:val="center"/>
              </w:pPr>
              <w:r>
                <w:rPr>
                  <w:b/>
                  <w:bCs/>
                  <w:color w:val="FFFFFF"/>
                  <w:sz w:val="18"/>
                  <w:szCs w:val="18"/>
                </w:rPr>
                <w:t xml:space="preserve">SUBCARACTERÍSTICA</w:t>
              </w:r>
            </w:p>
          </w:tc>
        </w:tr>
        <w:tr>
          <w:tc>
            <w:tcPr>
              <w:shd w:fill="D6E4F0" w:val="clear"/>
              <w:tcMar>
                <w:top w:type="dxa" w:w="80"/>
                <w:left w:type="dxa" w:w="120"/>
                <w:bottom w:type="dxa" w:w="80"/>
                <w:right w:type="dxa" w:w="120"/>
              </w:tcMar>
              <w:vAlign w:val="center"/>
            </w:tcPr>
            <w:p>
              <w:pPr>
                <w:jc w:val="center"/>
              </w:pPr>
              <w:r>
                <w:rPr>
                  <w:b/>
                  <w:bCs/>
                  <w:color w:val="1A1A2E"/>
                  <w:sz w:val="18"/>
                  <w:szCs w:val="18"/>
                </w:rPr>
                <w:t xml:space="preserve">RNF-01</w:t>
              </w:r>
            </w:p>
          </w:tc>
          <w:tc>
            <w:tcPr>
              <w:shd w:fill="D6E4F0" w:val="clear"/>
              <w:tcMar>
                <w:top w:type="dxa" w:w="80"/>
                <w:left w:type="dxa" w:w="120"/>
                <w:bottom w:type="dxa" w:w="80"/>
                <w:right w:type="dxa" w:w="120"/>
              </w:tcMar>
              <w:vAlign w:val="center"/>
            </w:tcPr>
            <w:p>
              <w:pPr>
                <w:jc w:val="center"/>
              </w:pPr>
              <w:r>
                <w:rPr>
                  <w:color w:val="1A1A2E"/>
                  <w:sz w:val="18"/>
                  <w:szCs w:val="18"/>
                </w:rPr>
                <w:t xml:space="preserve">SEC-AUT-01</w:t>
              </w:r>
            </w:p>
          </w:tc>
          <w:tc>
            <w:tcPr>
              <w:tcMar>
                <w:top w:type="dxa" w:w="80"/>
                <w:left w:type="dxa" w:w="120"/>
                <w:bottom w:type="dxa" w:w="80"/>
                <w:right w:type="dxa" w:w="120"/>
              </w:tcMar>
              <w:vAlign w:val="center"/>
            </w:tcPr>
            <w:p>
              <w:pPr>
                <w:jc w:val="left"/>
              </w:pPr>
              <w:r>
                <w:rPr>
                  <w:color w:val="1A1A2E"/>
                  <w:sz w:val="18"/>
                  <w:szCs w:val="18"/>
                </w:rPr>
                <w:t xml:space="preserve">Roles Gerente y Asistente; bloqueo de rutas no permitidas por perfil.</w:t>
              </w:r>
            </w:p>
          </w:tc>
          <w:tc>
            <w:tcPr>
              <w:tcMar>
                <w:top w:type="dxa" w:w="80"/>
                <w:left w:type="dxa" w:w="120"/>
                <w:bottom w:type="dxa" w:w="80"/>
                <w:right w:type="dxa" w:w="120"/>
              </w:tcMar>
              <w:vAlign w:val="center"/>
            </w:tcPr>
            <w:p>
              <w:pPr>
                <w:jc w:val="left"/>
              </w:pPr>
              <w:r>
                <w:rPr>
                  <w:color w:val="1A1A2E"/>
                  <w:sz w:val="18"/>
                  <w:szCs w:val="18"/>
                </w:rPr>
                <w:t xml:space="preserve">RBAC: 3 roles, 42 permisos. Acceso restringido por módulo.</w:t>
              </w:r>
            </w:p>
          </w:tc>
          <w:tc>
            <w:tcPr>
              <w:tcMar>
                <w:top w:type="dxa" w:w="80"/>
                <w:left w:type="dxa" w:w="120"/>
                <w:bottom w:type="dxa" w:w="80"/>
                <w:right w:type="dxa" w:w="120"/>
              </w:tcMar>
              <w:vAlign w:val="center"/>
            </w:tcPr>
            <w:p>
              <w:pPr>
                <w:jc w:val="center"/>
              </w:pPr>
              <w:r>
                <w:rPr>
                  <w:b/>
                  <w:bCs/>
                  <w:color w:val="2E75B6"/>
                  <w:sz w:val="18"/>
                  <w:szCs w:val="18"/>
                </w:rPr>
                <w:t xml:space="preserve">Autenticidad</w:t>
              </w:r>
            </w:p>
          </w:tc>
        </w:tr>
        <w:tr>
          <w:tc>
            <w:tcPr>
              <w:shd w:fill="F2F2F2" w:val="clear"/>
              <w:tcMar>
                <w:top w:type="dxa" w:w="80"/>
                <w:left w:type="dxa" w:w="120"/>
                <w:bottom w:type="dxa" w:w="80"/>
                <w:right w:type="dxa" w:w="120"/>
              </w:tcMar>
              <w:vAlign w:val="center"/>
            </w:tcPr>
            <w:p>
              <w:pPr>
                <w:jc w:val="center"/>
              </w:pPr>
              <w:r>
                <w:rPr>
                  <w:b/>
                  <w:bCs/>
                  <w:color w:val="1A1A2E"/>
                  <w:sz w:val="18"/>
                  <w:szCs w:val="18"/>
                </w:rPr>
                <w:t xml:space="preserve">RNF-02</w:t>
              </w:r>
            </w:p>
          </w:tc>
          <w:tc>
            <w:tcPr>
              <w:shd w:fill="F2F2F2" w:val="clear"/>
              <w:tcMar>
                <w:top w:type="dxa" w:w="80"/>
                <w:left w:type="dxa" w:w="120"/>
                <w:bottom w:type="dxa" w:w="80"/>
                <w:right w:type="dxa" w:w="120"/>
              </w:tcMar>
              <w:vAlign w:val="center"/>
            </w:tcPr>
            <w:p>
              <w:pPr>
                <w:jc w:val="center"/>
              </w:pPr>
              <w:r>
                <w:rPr>
                  <w:color w:val="1A1A2E"/>
                  <w:sz w:val="18"/>
                  <w:szCs w:val="18"/>
                </w:rPr>
                <w:t xml:space="preserve">SEC-AUT-02</w:t>
              </w:r>
            </w:p>
          </w:tc>
          <w:tc>
            <w:tcPr>
              <w:tcMar>
                <w:top w:type="dxa" w:w="80"/>
                <w:left w:type="dxa" w:w="120"/>
                <w:bottom w:type="dxa" w:w="80"/>
                <w:right w:type="dxa" w:w="120"/>
              </w:tcMar>
              <w:vAlign w:val="center"/>
            </w:tcPr>
            <w:p>
              <w:pPr>
                <w:jc w:val="left"/>
              </w:pPr>
              <w:r>
                <w:rPr>
                  <w:color w:val="1A1A2E"/>
                  <w:sz w:val="18"/>
                  <w:szCs w:val="18"/>
                </w:rPr>
                <w:t xml:space="preserve">Acceso desde casa (remoto) con identificadores únicos de sesión.</w:t>
              </w:r>
            </w:p>
          </w:tc>
          <w:tc>
            <w:tcPr>
              <w:tcMar>
                <w:top w:type="dxa" w:w="80"/>
                <w:left w:type="dxa" w:w="120"/>
                <w:bottom w:type="dxa" w:w="80"/>
                <w:right w:type="dxa" w:w="120"/>
              </w:tcMar>
              <w:vAlign w:val="center"/>
            </w:tcPr>
            <w:p>
              <w:pPr>
                <w:jc w:val="left"/>
              </w:pPr>
              <w:r>
                <w:rPr>
                  <w:color w:val="1A1A2E"/>
                  <w:sz w:val="18"/>
                  <w:szCs w:val="18"/>
                </w:rPr>
                <w:t xml:space="preserve">JWT temporalmente acotados (Laravel Sanctum). PWA.</w:t>
              </w:r>
            </w:p>
          </w:tc>
          <w:tc>
            <w:tcPr>
              <w:tcMar>
                <w:top w:type="dxa" w:w="80"/>
                <w:left w:type="dxa" w:w="120"/>
                <w:bottom w:type="dxa" w:w="80"/>
                <w:right w:type="dxa" w:w="120"/>
              </w:tcMar>
              <w:vAlign w:val="center"/>
            </w:tcPr>
            <w:p>
              <w:pPr>
                <w:jc w:val="center"/>
              </w:pPr>
              <w:r>
                <w:rPr>
                  <w:b/>
                  <w:bCs/>
                  <w:color w:val="2E75B6"/>
                  <w:sz w:val="18"/>
                  <w:szCs w:val="18"/>
                </w:rPr>
                <w:t xml:space="preserve">Autenticidad</w:t>
              </w:r>
            </w:p>
          </w:tc>
        </w:tr>
        <w:tr>
          <w:tc>
            <w:tcPr>
              <w:shd w:fill="D6E4F0" w:val="clear"/>
              <w:tcMar>
                <w:top w:type="dxa" w:w="80"/>
                <w:left w:type="dxa" w:w="120"/>
                <w:bottom w:type="dxa" w:w="80"/>
                <w:right w:type="dxa" w:w="120"/>
              </w:tcMar>
              <w:vAlign w:val="center"/>
            </w:tcPr>
            <w:p>
              <w:pPr>
                <w:jc w:val="center"/>
              </w:pPr>
              <w:r>
                <w:rPr>
                  <w:b/>
                  <w:bCs/>
                  <w:color w:val="1A1A2E"/>
                  <w:sz w:val="18"/>
                  <w:szCs w:val="18"/>
                </w:rPr>
                <w:t xml:space="preserve">RNF-03</w:t>
              </w:r>
            </w:p>
          </w:tc>
          <w:tc>
            <w:tcPr>
              <w:shd w:fill="D6E4F0" w:val="clear"/>
              <w:tcMar>
                <w:top w:type="dxa" w:w="80"/>
                <w:left w:type="dxa" w:w="120"/>
                <w:bottom w:type="dxa" w:w="80"/>
                <w:right w:type="dxa" w:w="120"/>
              </w:tcMar>
              <w:vAlign w:val="center"/>
            </w:tcPr>
            <w:p>
              <w:pPr>
                <w:jc w:val="center"/>
              </w:pPr>
              <w:r>
                <w:rPr>
                  <w:color w:val="1A1A2E"/>
                  <w:sz w:val="18"/>
                  <w:szCs w:val="18"/>
                </w:rPr>
                <w:t xml:space="preserve">SEC-INT-01</w:t>
              </w:r>
            </w:p>
          </w:tc>
          <w:tc>
            <w:tcPr>
              <w:tcMar>
                <w:top w:type="dxa" w:w="80"/>
                <w:left w:type="dxa" w:w="120"/>
                <w:bottom w:type="dxa" w:w="80"/>
                <w:right w:type="dxa" w:w="120"/>
              </w:tcMar>
              <w:vAlign w:val="center"/>
            </w:tcPr>
            <w:p>
              <w:pPr>
                <w:jc w:val="left"/>
              </w:pPr>
              <w:r>
                <w:rPr>
                  <w:color w:val="1A1A2E"/>
                  <w:sz w:val="18"/>
                  <w:szCs w:val="18"/>
                </w:rPr>
                <w:t xml:space="preserve">Parámetros refractivos deben tener rangos clínicamente válidos.</w:t>
              </w:r>
            </w:p>
          </w:tc>
          <w:tc>
            <w:tcPr>
              <w:tcMar>
                <w:top w:type="dxa" w:w="80"/>
                <w:left w:type="dxa" w:w="120"/>
                <w:bottom w:type="dxa" w:w="80"/>
                <w:right w:type="dxa" w:w="120"/>
              </w:tcMar>
              <w:vAlign w:val="center"/>
            </w:tcPr>
            <w:p>
              <w:pPr>
                <w:jc w:val="left"/>
              </w:pPr>
              <w:r>
                <w:rPr>
                  <w:color w:val="1A1A2E"/>
                  <w:sz w:val="18"/>
                  <w:szCs w:val="18"/>
                </w:rPr>
                <w:t xml:space="preserve">Validación backend + frontend: Eje 0-180°, pasos de 0.25.</w:t>
              </w:r>
            </w:p>
          </w:tc>
          <w:tc>
            <w:tcPr>
              <w:tcMar>
                <w:top w:type="dxa" w:w="80"/>
                <w:left w:type="dxa" w:w="120"/>
                <w:bottom w:type="dxa" w:w="80"/>
                <w:right w:type="dxa" w:w="120"/>
              </w:tcMar>
              <w:vAlign w:val="center"/>
            </w:tcPr>
            <w:p>
              <w:pPr>
                <w:jc w:val="center"/>
              </w:pPr>
              <w:r>
                <w:rPr>
                  <w:b/>
                  <w:bCs/>
                  <w:color w:val="2E75B6"/>
                  <w:sz w:val="18"/>
                  <w:szCs w:val="18"/>
                </w:rPr>
                <w:t xml:space="preserve">Integridad</w:t>
              </w:r>
            </w:p>
          </w:tc>
        </w:tr>
        <w:tr>
          <w:tc>
            <w:tcPr>
              <w:shd w:fill="F2F2F2" w:val="clear"/>
              <w:tcMar>
                <w:top w:type="dxa" w:w="80"/>
                <w:left w:type="dxa" w:w="120"/>
                <w:bottom w:type="dxa" w:w="80"/>
                <w:right w:type="dxa" w:w="120"/>
              </w:tcMar>
              <w:vAlign w:val="center"/>
            </w:tcPr>
            <w:p>
              <w:pPr>
                <w:jc w:val="center"/>
              </w:pPr>
              <w:r>
                <w:rPr>
                  <w:b/>
                  <w:bCs/>
                  <w:color w:val="1A1A2E"/>
                  <w:sz w:val="18"/>
                  <w:szCs w:val="18"/>
                </w:rPr>
                <w:t xml:space="preserve">RNF-04</w:t>
              </w:r>
            </w:p>
          </w:tc>
          <w:tc>
            <w:tcPr>
              <w:shd w:fill="F2F2F2" w:val="clear"/>
              <w:tcMar>
                <w:top w:type="dxa" w:w="80"/>
                <w:left w:type="dxa" w:w="120"/>
                <w:bottom w:type="dxa" w:w="80"/>
                <w:right w:type="dxa" w:w="120"/>
              </w:tcMar>
              <w:vAlign w:val="center"/>
            </w:tcPr>
            <w:p>
              <w:pPr>
                <w:jc w:val="center"/>
              </w:pPr>
              <w:r>
                <w:rPr>
                  <w:color w:val="1A1A2E"/>
                  <w:sz w:val="18"/>
                  <w:szCs w:val="18"/>
                </w:rPr>
                <w:t xml:space="preserve">SEC-INT-02</w:t>
              </w:r>
            </w:p>
          </w:tc>
          <w:tc>
            <w:tcPr>
              <w:tcMar>
                <w:top w:type="dxa" w:w="80"/>
                <w:left w:type="dxa" w:w="120"/>
                <w:bottom w:type="dxa" w:w="80"/>
                <w:right w:type="dxa" w:w="120"/>
              </w:tcMar>
              <w:vAlign w:val="center"/>
            </w:tcPr>
            <w:p>
              <w:pPr>
                <w:jc w:val="left"/>
              </w:pPr>
              <w:r>
                <w:rPr>
                  <w:color w:val="1A1A2E"/>
                  <w:sz w:val="18"/>
                  <w:szCs w:val="18"/>
                </w:rPr>
                <w:t xml:space="preserve">Anulación revierte flujos de dinero y producto de forma simultánea.</w:t>
              </w:r>
            </w:p>
          </w:tc>
          <w:tc>
            <w:tcPr>
              <w:tcMar>
                <w:top w:type="dxa" w:w="80"/>
                <w:left w:type="dxa" w:w="120"/>
                <w:bottom w:type="dxa" w:w="80"/>
                <w:right w:type="dxa" w:w="120"/>
              </w:tcMar>
              <w:vAlign w:val="center"/>
            </w:tcPr>
            <w:p>
              <w:pPr>
                <w:jc w:val="left"/>
              </w:pPr>
              <w:r>
                <w:rPr>
                  <w:color w:val="1A1A2E"/>
                  <w:sz w:val="18"/>
                  <w:szCs w:val="18"/>
                </w:rPr>
                <w:t xml:space="preserve">Transaccionalidad ACID en PostgreSQL. Operación atómica.</w:t>
              </w:r>
            </w:p>
          </w:tc>
          <w:tc>
            <w:tcPr>
              <w:tcMar>
                <w:top w:type="dxa" w:w="80"/>
                <w:left w:type="dxa" w:w="120"/>
                <w:bottom w:type="dxa" w:w="80"/>
                <w:right w:type="dxa" w:w="120"/>
              </w:tcMar>
              <w:vAlign w:val="center"/>
            </w:tcPr>
            <w:p>
              <w:pPr>
                <w:jc w:val="center"/>
              </w:pPr>
              <w:r>
                <w:rPr>
                  <w:b/>
                  <w:bCs/>
                  <w:color w:val="2E75B6"/>
                  <w:sz w:val="18"/>
                  <w:szCs w:val="18"/>
                </w:rPr>
                <w:t xml:space="preserve">Integridad</w:t>
              </w:r>
            </w:p>
          </w:tc>
        </w:tr>
        <w:tr>
          <w:tc>
            <w:tcPr>
              <w:shd w:fill="D6E4F0" w:val="clear"/>
              <w:tcMar>
                <w:top w:type="dxa" w:w="80"/>
                <w:left w:type="dxa" w:w="120"/>
                <w:bottom w:type="dxa" w:w="80"/>
                <w:right w:type="dxa" w:w="120"/>
              </w:tcMar>
              <w:vAlign w:val="center"/>
            </w:tcPr>
            <w:p>
              <w:pPr>
                <w:jc w:val="center"/>
              </w:pPr>
              <w:r>
                <w:rPr>
                  <w:b/>
                  <w:bCs/>
                  <w:color w:val="1A1A2E"/>
                  <w:sz w:val="18"/>
                  <w:szCs w:val="18"/>
                </w:rPr>
                <w:t xml:space="preserve">RNF-05</w:t>
              </w:r>
            </w:p>
          </w:tc>
          <w:tc>
            <w:tcPr>
              <w:shd w:fill="D6E4F0" w:val="clear"/>
              <w:tcMar>
                <w:top w:type="dxa" w:w="80"/>
                <w:left w:type="dxa" w:w="120"/>
                <w:bottom w:type="dxa" w:w="80"/>
                <w:right w:type="dxa" w:w="120"/>
              </w:tcMar>
              <w:vAlign w:val="center"/>
            </w:tcPr>
            <w:p>
              <w:pPr>
                <w:jc w:val="center"/>
              </w:pPr>
              <w:r>
                <w:rPr>
                  <w:color w:val="1A1A2E"/>
                  <w:sz w:val="18"/>
                  <w:szCs w:val="18"/>
                </w:rPr>
                <w:t xml:space="preserve">SEC-INT-03</w:t>
              </w:r>
            </w:p>
          </w:tc>
          <w:tc>
            <w:tcPr>
              <w:tcMar>
                <w:top w:type="dxa" w:w="80"/>
                <w:left w:type="dxa" w:w="120"/>
                <w:bottom w:type="dxa" w:w="80"/>
                <w:right w:type="dxa" w:w="120"/>
              </w:tcMar>
              <w:vAlign w:val="center"/>
            </w:tcPr>
            <w:p>
              <w:pPr>
                <w:jc w:val="left"/>
              </w:pPr>
              <w:r>
                <w:rPr>
                  <w:color w:val="1A1A2E"/>
                  <w:sz w:val="18"/>
                  <w:szCs w:val="18"/>
                </w:rPr>
                <w:t xml:space="preserve">Graduaciones históricas no deben sobreescribirse; cada medición persiste.</w:t>
              </w:r>
            </w:p>
          </w:tc>
          <w:tc>
            <w:tcPr>
              <w:tcMar>
                <w:top w:type="dxa" w:w="80"/>
                <w:left w:type="dxa" w:w="120"/>
                <w:bottom w:type="dxa" w:w="80"/>
                <w:right w:type="dxa" w:w="120"/>
              </w:tcMar>
              <w:vAlign w:val="center"/>
            </w:tcPr>
            <w:p>
              <w:pPr>
                <w:jc w:val="left"/>
              </w:pPr>
              <w:r>
                <w:rPr>
                  <w:color w:val="1A1A2E"/>
                  <w:sz w:val="18"/>
                  <w:szCs w:val="18"/>
                </w:rPr>
                <w:t xml:space="preserve">Soft delete + nuevo registro cronológico por cada refracción.</w:t>
              </w:r>
            </w:p>
          </w:tc>
          <w:tc>
            <w:tcPr>
              <w:tcMar>
                <w:top w:type="dxa" w:w="80"/>
                <w:left w:type="dxa" w:w="120"/>
                <w:bottom w:type="dxa" w:w="80"/>
                <w:right w:type="dxa" w:w="120"/>
              </w:tcMar>
              <w:vAlign w:val="center"/>
            </w:tcPr>
            <w:p>
              <w:pPr>
                <w:jc w:val="center"/>
              </w:pPr>
              <w:r>
                <w:rPr>
                  <w:b/>
                  <w:bCs/>
                  <w:color w:val="2E75B6"/>
                  <w:sz w:val="18"/>
                  <w:szCs w:val="18"/>
                </w:rPr>
                <w:t xml:space="preserve">Integridad</w:t>
              </w:r>
            </w:p>
          </w:tc>
        </w:tr>
        <w:tr>
          <w:tc>
            <w:tcPr>
              <w:shd w:fill="F2F2F2" w:val="clear"/>
              <w:tcMar>
                <w:top w:type="dxa" w:w="80"/>
                <w:left w:type="dxa" w:w="120"/>
                <w:bottom w:type="dxa" w:w="80"/>
                <w:right w:type="dxa" w:w="120"/>
              </w:tcMar>
              <w:vAlign w:val="center"/>
            </w:tcPr>
            <w:p>
              <w:pPr>
                <w:jc w:val="center"/>
              </w:pPr>
              <w:r>
                <w:rPr>
                  <w:b/>
                  <w:bCs/>
                  <w:color w:val="1A1A2E"/>
                  <w:sz w:val="18"/>
                  <w:szCs w:val="18"/>
                </w:rPr>
                <w:t xml:space="preserve">RNF-06</w:t>
              </w:r>
            </w:p>
          </w:tc>
          <w:tc>
            <w:tcPr>
              <w:shd w:fill="F2F2F2" w:val="clear"/>
              <w:tcMar>
                <w:top w:type="dxa" w:w="80"/>
                <w:left w:type="dxa" w:w="120"/>
                <w:bottom w:type="dxa" w:w="80"/>
                <w:right w:type="dxa" w:w="120"/>
              </w:tcMar>
              <w:vAlign w:val="center"/>
            </w:tcPr>
            <w:p>
              <w:pPr>
                <w:jc w:val="center"/>
              </w:pPr>
              <w:r>
                <w:rPr>
                  <w:color w:val="1A1A2E"/>
                  <w:sz w:val="18"/>
                  <w:szCs w:val="18"/>
                </w:rPr>
                <w:t xml:space="preserve">SEC-RES-01</w:t>
              </w:r>
            </w:p>
          </w:tc>
          <w:tc>
            <w:tcPr>
              <w:tcMar>
                <w:top w:type="dxa" w:w="80"/>
                <w:left w:type="dxa" w:w="120"/>
                <w:bottom w:type="dxa" w:w="80"/>
                <w:right w:type="dxa" w:w="120"/>
              </w:tcMar>
              <w:vAlign w:val="center"/>
            </w:tcPr>
            <w:p>
              <w:pPr>
                <w:jc w:val="left"/>
              </w:pPr>
              <w:r>
                <w:rPr>
                  <w:color w:val="1A1A2E"/>
                  <w:sz w:val="18"/>
                  <w:szCs w:val="18"/>
                </w:rPr>
                <w:t xml:space="preserve">Identificar qué usuario realiza ventas, devoluciones, modificaciones de HC y pedidos.</w:t>
              </w:r>
            </w:p>
          </w:tc>
          <w:tc>
            <w:tcPr>
              <w:tcMar>
                <w:top w:type="dxa" w:w="80"/>
                <w:left w:type="dxa" w:w="120"/>
                <w:bottom w:type="dxa" w:w="80"/>
                <w:right w:type="dxa" w:w="120"/>
              </w:tcMar>
              <w:vAlign w:val="center"/>
            </w:tcPr>
            <w:p>
              <w:pPr>
                <w:jc w:val="left"/>
              </w:pPr>
              <w:r>
                <w:rPr>
                  <w:color w:val="1A1A2E"/>
                  <w:sz w:val="18"/>
                  <w:szCs w:val="18"/>
                </w:rPr>
                <w:t xml:space="preserve">Audit Log: usuario_id + acción + marca_temporal_UTC + estado anterior/nuevo.</w:t>
              </w:r>
            </w:p>
          </w:tc>
          <w:tc>
            <w:tcPr>
              <w:tcMar>
                <w:top w:type="dxa" w:w="80"/>
                <w:left w:type="dxa" w:w="120"/>
                <w:bottom w:type="dxa" w:w="80"/>
                <w:right w:type="dxa" w:w="120"/>
              </w:tcMar>
              <w:vAlign w:val="center"/>
            </w:tcPr>
            <w:p>
              <w:pPr>
                <w:jc w:val="center"/>
              </w:pPr>
              <w:r>
                <w:rPr>
                  <w:b/>
                  <w:bCs/>
                  <w:color w:val="2E75B6"/>
                  <w:sz w:val="18"/>
                  <w:szCs w:val="18"/>
                </w:rPr>
                <w:t xml:space="preserve">Responsabilidad</w:t>
              </w:r>
            </w:p>
          </w:tc>
        </w:tr>
      </w:tbl>
    </w:p>
    <w:p>
      <w:pPr>
        <w:pBdr>
          <w:bottom w:val="single" w:color="2E75B6" w:sz="6"/>
        </w:pBdr>
        <w:spacing w:after="160" w:before="160"/>
      </w:pPr>
    </w:p>
    <w:p>
      <w:pPr>
        <w:pStyle w:val="Heading1"/>
        <w:spacing w:after="120" w:before="360"/>
        <w:rPr>
          <w:b/>
          <w:bCs/>
          <w:color w:val="1F3864"/>
          <w:sz w:val="28"/>
          <w:szCs w:val="28"/>
        </w:rPr>
      </w:pPr>
      <w:r>
        <w:t xml:space="preserve">6. ANÁLISIS DE BRECHAS RESPECTO AL SISTEMA LEGADO</w:t>
      </w:r>
    </w:p>
    <w:p>
      <w:pPr>
        <w:spacing w:after="80" w:before="80"/>
      </w:pPr>
      <w:r>
        <w:rPr>
          <w:color w:val="1A1A2E"/>
          <w:sz w:val="20"/>
          <w:szCs w:val="20"/>
        </w:rPr>
        <w:t xml:space="preserve">El análisis comparativo entre los hallazgos de la entrevista y el sistema informático peruano actualmente en uso en la Óptica de estudio permitió identificar las siguientes brechas específicas:</w:t>
      </w:r>
    </w:p>
    <w:p>
      <w:pPr>
        <w:pStyle w:val="Heading2"/>
        <w:spacing w:after="80" w:before="240"/>
      </w:pPr>
      <w:r>
        <w:rPr>
          <w:b/>
          <w:bCs/>
          <w:color w:val="2E5496"/>
          <w:sz w:val="24"/>
          <w:szCs w:val="24"/>
        </w:rPr>
        <w:t xml:space="preserve">6.1 Brechas funcionales</w:t>
      </w:r>
    </w:p>
    <w:p>
      <w:pPr>
        <w:spacing w:after="40" w:before="40"/>
        <w:ind w:left="360"/>
      </w:pPr>
      <w:r>
        <w:rPr>
          <w:color w:val="1A1A2E"/>
          <w:sz w:val="20"/>
          <w:szCs w:val="20"/>
        </w:rPr>
        <w:t xml:space="preserve">El catálogo de tratamientos de lentes no es editable por el usuario en el sistema legado (impide agregar ítems como filtro de luz azul). El nuevo sistema contempla un catálogo editable (RF-17).</w:t>
      </w:r>
    </w:p>
    <w:p>
      <w:pPr>
        <w:spacing w:after="40" w:before="40"/>
        <w:ind w:left="360"/>
      </w:pPr>
      <w:r>
        <w:rPr>
          <w:color w:val="1A1A2E"/>
          <w:sz w:val="20"/>
          <w:szCs w:val="20"/>
        </w:rPr>
        <w:t xml:space="preserve">El seguimiento de pedidos al laboratorio se gestiona en una hoja de cálculo impresa fuera del sistema. El nuevo sistema lo integra en el módulo M4 con flujo de estados digitales (RF-18).</w:t>
      </w:r>
    </w:p>
    <w:p>
      <w:pPr>
        <w:spacing w:after="40" w:before="40"/>
        <w:ind w:left="360"/>
      </w:pPr>
      <w:r>
        <w:rPr>
          <w:color w:val="1A1A2E"/>
          <w:sz w:val="20"/>
          <w:szCs w:val="20"/>
        </w:rPr>
        <w:t xml:space="preserve">El historial clínico del sistema legado presenta funcionalidades adquiridas pero no activadas. El nuevo sistema las implementa como parte del núcleo del módulo M3.</w:t>
      </w:r>
    </w:p>
    <w:p>
      <w:pPr>
        <w:spacing w:after="40" w:before="40"/>
        <w:ind w:left="360"/>
      </w:pPr>
      <w:r>
        <w:rPr>
          <w:color w:val="1A1A2E"/>
          <w:sz w:val="20"/>
          <w:szCs w:val="20"/>
        </w:rPr>
        <w:t xml:space="preserve">El cálculo del precio según parámetros de esfera y cilindro requiere consulta manual de un listado externo. El nuevo sistema automatiza este cálculo dentro del módulo M5 (RF-21).</w:t>
      </w:r>
    </w:p>
    <w:p>
      <w:pPr>
        <w:pStyle w:val="Heading2"/>
        <w:spacing w:after="80" w:before="240"/>
      </w:pPr>
      <w:r>
        <w:rPr>
          <w:b/>
          <w:bCs/>
          <w:color w:val="2E5496"/>
          <w:sz w:val="24"/>
          <w:szCs w:val="24"/>
        </w:rPr>
        <w:t xml:space="preserve">6.2 Brechas de seguridad</w:t>
      </w:r>
    </w:p>
    <w:p>
      <w:pPr>
        <w:spacing w:after="40" w:before="40"/>
        <w:ind w:left="360"/>
      </w:pPr>
      <w:r>
        <w:rPr>
          <w:color w:val="1A1A2E"/>
          <w:sz w:val="20"/>
          <w:szCs w:val="20"/>
        </w:rPr>
        <w:t xml:space="preserve">El sistema legado no ofrece identificación de usuario por operación sensible (ventas, devoluciones, modificaciones de HC). El nuevo sistema lo subsana mediante el Audit Log [SEC-RES-01].</w:t>
      </w:r>
    </w:p>
    <w:p>
      <w:pPr>
        <w:spacing w:after="40" w:before="40"/>
        <w:ind w:left="360"/>
      </w:pPr>
      <w:r>
        <w:rPr>
          <w:color w:val="1A1A2E"/>
          <w:sz w:val="20"/>
          <w:szCs w:val="20"/>
        </w:rPr>
        <w:t xml:space="preserve">La gestión de sesiones en el sistema legado no está basada en tokens seguros temporalmente acotados. El nuevo sistema implementa JWT con expiración controlada [SEC-AUT-02].</w:t>
      </w:r>
    </w:p>
    <w:p>
      <w:pPr>
        <w:spacing w:after="40" w:before="40"/>
        <w:ind w:left="360"/>
      </w:pPr>
      <w:r>
        <w:rPr>
          <w:color w:val="1A1A2E"/>
          <w:sz w:val="20"/>
          <w:szCs w:val="20"/>
        </w:rPr>
        <w:t xml:space="preserve">No existe mecanismo de papelera de reciclaje lógica (soft delete) en el sistema legado. El nuevo sistema marca registros inactivos en lugar de eliminarlos físicamente [SEC-INT-03].</w:t>
      </w:r>
    </w:p>
    <w:p>
      <w:pPr>
        <w:pStyle w:val="Heading2"/>
        <w:spacing w:after="80" w:before="240"/>
      </w:pPr>
      <w:r>
        <w:rPr>
          <w:b/>
          <w:bCs/>
          <w:color w:val="2E5496"/>
          <w:sz w:val="24"/>
          <w:szCs w:val="24"/>
        </w:rPr>
        <w:t xml:space="preserve">6.3 Brechas de usabilidad y acceso</w:t>
      </w:r>
    </w:p>
    <w:p>
      <w:pPr>
        <w:spacing w:after="40" w:before="40"/>
        <w:ind w:left="360"/>
      </w:pPr>
      <w:r>
        <w:rPr>
          <w:color w:val="1A1A2E"/>
          <w:sz w:val="20"/>
          <w:szCs w:val="20"/>
        </w:rPr>
        <w:t xml:space="preserve">El sistema legado es una aplicación de escritorio (Multiple Document Interface) sin acceso remoto. El nuevo sistema es una aplicación web responsiva con soporte PWA para acceso desde cualquier dispositivo (RNF-07).</w:t>
      </w:r>
    </w:p>
    <w:p>
      <w:pPr>
        <w:spacing w:after="40" w:before="40"/>
        <w:ind w:left="360"/>
      </w:pPr>
      <w:r>
        <w:rPr>
          <w:color w:val="1A1A2E"/>
          <w:sz w:val="20"/>
          <w:szCs w:val="20"/>
        </w:rPr>
        <w:t xml:space="preserve">El flujo entre el proceso de examen y el de venta está fragmentado en múltiples ventanas sin navegación guiada. El nuevo sistema propone un flujo cohesionado entre M3 y M5.</w:t>
      </w:r>
    </w:p>
    <w:p>
      <w:pPr>
        <w:pBdr>
          <w:bottom w:val="single" w:color="2E75B6" w:sz="6"/>
        </w:pBdr>
        <w:spacing w:after="160" w:before="160"/>
      </w:pPr>
    </w:p>
    <w:p>
      <w:pPr>
        <w:pStyle w:val="Heading1"/>
        <w:spacing w:after="120" w:before="360"/>
        <w:rPr>
          <w:b/>
          <w:bCs/>
          <w:color w:val="1F3864"/>
          <w:sz w:val="28"/>
          <w:szCs w:val="28"/>
        </w:rPr>
      </w:pPr>
      <w:r>
        <w:t xml:space="preserve">7. FUNCIONALIDADES SOLICITADAS FUERA DEL ALCANCE DEL MVP</w:t>
      </w:r>
    </w:p>
    <w:p>
      <w:pPr>
        <w:spacing w:after="80" w:before="80"/>
      </w:pPr>
      <w:r>
        <w:rPr>
          <w:color w:val="1A1A2E"/>
          <w:sz w:val="20"/>
          <w:szCs w:val="20"/>
        </w:rPr>
        <w:t xml:space="preserve">Las siguientes funcionalidades fueron mencionadas durante la sesión por el usuario o los revisores técnicos, pero quedan excluidas del Producto Mínimo Viable (MVP) por los criterios de viabilidad técnica, autonomía respecto de dependencias externas y plazo de 16 semanas definidos en el anteproyecto. Todas quedan documentadas con especificación suficiente para su implementación en fases posteriores:</w:t>
      </w:r>
    </w:p>
    <w:p>
      <w:pPr>
        <w:spacing w:after="160" w:before="120"/>
      </w:p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shd w:fill="2E5496" w:val="clear"/>
              <w:tcMar>
                <w:top w:type="dxa" w:w="80"/>
                <w:left w:type="dxa" w:w="120"/>
                <w:bottom w:type="dxa" w:w="80"/>
                <w:right w:type="dxa" w:w="120"/>
              </w:tcMar>
              <w:vAlign w:val="center"/>
            </w:tcPr>
            <w:p>
              <w:pPr>
                <w:jc w:val="center"/>
              </w:pPr>
              <w:r>
                <w:rPr>
                  <w:b/>
                  <w:bCs/>
                  <w:color w:val="FFFFFF"/>
                  <w:sz w:val="18"/>
                  <w:szCs w:val="18"/>
                </w:rPr>
                <w:t xml:space="preserve">ID</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FUNCIONALIDAD SOLICITADA</w:t>
              </w:r>
            </w:p>
          </w:tc>
          <w:tc>
            <w:tcPr>
              <w:shd w:fill="2E5496" w:val="clear"/>
              <w:tcMar>
                <w:top w:type="dxa" w:w="80"/>
                <w:left w:type="dxa" w:w="120"/>
                <w:bottom w:type="dxa" w:w="80"/>
                <w:right w:type="dxa" w:w="120"/>
              </w:tcMar>
              <w:vAlign w:val="center"/>
            </w:tcPr>
            <w:p>
              <w:pPr>
                <w:jc w:val="left"/>
              </w:pPr>
              <w:r>
                <w:rPr>
                  <w:b/>
                  <w:bCs/>
                  <w:color w:val="FFFFFF"/>
                  <w:sz w:val="18"/>
                  <w:szCs w:val="18"/>
                </w:rPr>
                <w:t xml:space="preserve">RAZÓN DE EXCLUSIÓN DEL MVP</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RF-FUT-01</w:t>
              </w:r>
            </w:p>
          </w:tc>
          <w:tc>
            <w:tcPr>
              <w:tcMar>
                <w:top w:type="dxa" w:w="80"/>
                <w:left w:type="dxa" w:w="120"/>
                <w:bottom w:type="dxa" w:w="80"/>
                <w:right w:type="dxa" w:w="120"/>
              </w:tcMar>
              <w:vAlign w:val="center"/>
            </w:tcPr>
            <w:p>
              <w:pPr>
                <w:jc w:val="left"/>
              </w:pPr>
              <w:r>
                <w:rPr>
                  <w:color w:val="1A1A2E"/>
                  <w:sz w:val="18"/>
                  <w:szCs w:val="18"/>
                </w:rPr>
                <w:t xml:space="preserve">Facturación electrónica SRI (comprobantes fiscales al webservice del SRI).</w:t>
              </w:r>
            </w:p>
          </w:tc>
          <w:tc>
            <w:tcPr>
              <w:tcMar>
                <w:top w:type="dxa" w:w="80"/>
                <w:left w:type="dxa" w:w="120"/>
                <w:bottom w:type="dxa" w:w="80"/>
                <w:right w:type="dxa" w:w="120"/>
              </w:tcMar>
              <w:vAlign w:val="center"/>
            </w:tcPr>
            <w:p>
              <w:pPr>
                <w:jc w:val="left"/>
              </w:pPr>
              <w:r>
                <w:rPr>
                  <w:color w:val="1A1A2E"/>
                  <w:sz w:val="18"/>
                  <w:szCs w:val="18"/>
                </w:rPr>
                <w:t xml:space="preserve">Dependencia burocrática externa (certificado digital, ambientes de prueba SRI). Riesgo crítico para la continuidad de sprints. Documentada con especificación técnica completa para fase futura.</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RF-FUT-02</w:t>
              </w:r>
            </w:p>
          </w:tc>
          <w:tc>
            <w:tcPr>
              <w:tcMar>
                <w:top w:type="dxa" w:w="80"/>
                <w:left w:type="dxa" w:w="120"/>
                <w:bottom w:type="dxa" w:w="80"/>
                <w:right w:type="dxa" w:w="120"/>
              </w:tcMar>
              <w:vAlign w:val="center"/>
            </w:tcPr>
            <w:p>
              <w:pPr>
                <w:jc w:val="left"/>
              </w:pPr>
              <w:r>
                <w:rPr>
                  <w:color w:val="1A1A2E"/>
                  <w:sz w:val="18"/>
                  <w:szCs w:val="18"/>
                </w:rPr>
                <w:t xml:space="preserve">Notificaciones automáticas por WhatsApp al cumplirse un año de la última revisión.</w:t>
              </w:r>
            </w:p>
          </w:tc>
          <w:tc>
            <w:tcPr>
              <w:tcMar>
                <w:top w:type="dxa" w:w="80"/>
                <w:left w:type="dxa" w:w="120"/>
                <w:bottom w:type="dxa" w:w="80"/>
                <w:right w:type="dxa" w:w="120"/>
              </w:tcMar>
              <w:vAlign w:val="center"/>
            </w:tcPr>
            <w:p>
              <w:pPr>
                <w:jc w:val="left"/>
              </w:pPr>
              <w:r>
                <w:rPr>
                  <w:color w:val="1A1A2E"/>
                  <w:sz w:val="18"/>
                  <w:szCs w:val="18"/>
                </w:rPr>
                <w:t xml:space="preserve">Requiere integración con API externa de mensajería. No forma parte del flujo clínico-comercial básico definido en el MVP.</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RF-FUT-03</w:t>
              </w:r>
            </w:p>
          </w:tc>
          <w:tc>
            <w:tcPr>
              <w:tcMar>
                <w:top w:type="dxa" w:w="80"/>
                <w:left w:type="dxa" w:w="120"/>
                <w:bottom w:type="dxa" w:w="80"/>
                <w:right w:type="dxa" w:w="120"/>
              </w:tcMar>
              <w:vAlign w:val="center"/>
            </w:tcPr>
            <w:p>
              <w:pPr>
                <w:jc w:val="left"/>
              </w:pPr>
              <w:r>
                <w:rPr>
                  <w:color w:val="1A1A2E"/>
                  <w:sz w:val="18"/>
                  <w:szCs w:val="18"/>
                </w:rPr>
                <w:t xml:space="preserve">Migración de base de datos legada (.BAK): ETL de 3.000–5.000 registros históricos.</w:t>
              </w:r>
            </w:p>
          </w:tc>
          <w:tc>
            <w:tcPr>
              <w:tcMar>
                <w:top w:type="dxa" w:w="80"/>
                <w:left w:type="dxa" w:w="120"/>
                <w:bottom w:type="dxa" w:w="80"/>
                <w:right w:type="dxa" w:w="120"/>
              </w:tcMar>
              <w:vAlign w:val="center"/>
            </w:tcPr>
            <w:p>
              <w:pPr>
                <w:jc w:val="left"/>
              </w:pPr>
              <w:r>
                <w:rPr>
                  <w:color w:val="1A1A2E"/>
                  <w:sz w:val="18"/>
                  <w:szCs w:val="18"/>
                </w:rPr>
                <w:t xml:space="preserve">Tarea de ingeniería de datos independiente del desarrollo del sistema. Requiere análisis de estructura del sistema peruano legado. Programada como trabajo futuro post-MVP.</w:t>
              </w:r>
            </w:p>
          </w:tc>
        </w:tr>
        <w:tr>
          <w:tc>
            <w:tcPr>
              <w:shd w:fill="F2F2F2" w:val="clear"/>
              <w:tcMar>
                <w:top w:type="dxa" w:w="80"/>
                <w:left w:type="dxa" w:w="120"/>
                <w:bottom w:type="dxa" w:w="80"/>
                <w:right w:type="dxa" w:w="120"/>
              </w:tcMar>
              <w:vAlign w:val="center"/>
            </w:tcPr>
            <w:p>
              <w:pPr>
                <w:jc w:val="left"/>
              </w:pPr>
              <w:r>
                <w:rPr>
                  <w:b/>
                  <w:bCs/>
                  <w:color w:val="1A1A2E"/>
                  <w:sz w:val="18"/>
                  <w:szCs w:val="18"/>
                </w:rPr>
                <w:t xml:space="preserve">RF-FUT-04</w:t>
              </w:r>
            </w:p>
          </w:tc>
          <w:tc>
            <w:tcPr>
              <w:tcMar>
                <w:top w:type="dxa" w:w="80"/>
                <w:left w:type="dxa" w:w="120"/>
                <w:bottom w:type="dxa" w:w="80"/>
                <w:right w:type="dxa" w:w="120"/>
              </w:tcMar>
              <w:vAlign w:val="center"/>
            </w:tcPr>
            <w:p>
              <w:pPr>
                <w:jc w:val="left"/>
              </w:pPr>
              <w:r>
                <w:rPr>
                  <w:color w:val="1A1A2E"/>
                  <w:sz w:val="18"/>
                  <w:szCs w:val="18"/>
                </w:rPr>
                <w:t xml:space="preserve">Exportación de datos clínicos con identidad corporativa (logo de la óptica).</w:t>
              </w:r>
            </w:p>
          </w:tc>
          <w:tc>
            <w:tcPr>
              <w:tcMar>
                <w:top w:type="dxa" w:w="80"/>
                <w:left w:type="dxa" w:w="120"/>
                <w:bottom w:type="dxa" w:w="80"/>
                <w:right w:type="dxa" w:w="120"/>
              </w:tcMar>
              <w:vAlign w:val="center"/>
            </w:tcPr>
            <w:p>
              <w:pPr>
                <w:jc w:val="left"/>
              </w:pPr>
              <w:r>
                <w:rPr>
                  <w:color w:val="1A1A2E"/>
                  <w:sz w:val="18"/>
                  <w:szCs w:val="18"/>
                </w:rPr>
                <w:t xml:space="preserve">Funcionalidad de presentación; no bloquea el flujo asistencial. Posible en Sprint adicional post-MVP.</w:t>
              </w:r>
            </w:p>
          </w:tc>
        </w:tr>
        <w:tr>
          <w:tc>
            <w:tcPr>
              <w:shd w:fill="D6E4F0" w:val="clear"/>
              <w:tcMar>
                <w:top w:type="dxa" w:w="80"/>
                <w:left w:type="dxa" w:w="120"/>
                <w:bottom w:type="dxa" w:w="80"/>
                <w:right w:type="dxa" w:w="120"/>
              </w:tcMar>
              <w:vAlign w:val="center"/>
            </w:tcPr>
            <w:p>
              <w:pPr>
                <w:jc w:val="left"/>
              </w:pPr>
              <w:r>
                <w:rPr>
                  <w:b/>
                  <w:bCs/>
                  <w:color w:val="1A1A2E"/>
                  <w:sz w:val="18"/>
                  <w:szCs w:val="18"/>
                </w:rPr>
                <w:t xml:space="preserve">RF-FUT-05</w:t>
              </w:r>
            </w:p>
          </w:tc>
          <w:tc>
            <w:tcPr>
              <w:tcMar>
                <w:top w:type="dxa" w:w="80"/>
                <w:left w:type="dxa" w:w="120"/>
                <w:bottom w:type="dxa" w:w="80"/>
                <w:right w:type="dxa" w:w="120"/>
              </w:tcMar>
              <w:vAlign w:val="center"/>
            </w:tcPr>
            <w:p>
              <w:pPr>
                <w:jc w:val="left"/>
              </w:pPr>
              <w:r>
                <w:rPr>
                  <w:color w:val="1A1A2E"/>
                  <w:sz w:val="18"/>
                  <w:szCs w:val="18"/>
                </w:rPr>
                <w:t xml:space="preserve">Submodulo de gestión de citas (agenda, visualización de citas pendientes por cliente).</w:t>
              </w:r>
            </w:p>
          </w:tc>
          <w:tc>
            <w:tcPr>
              <w:tcMar>
                <w:top w:type="dxa" w:w="80"/>
                <w:left w:type="dxa" w:w="120"/>
                <w:bottom w:type="dxa" w:w="80"/>
                <w:right w:type="dxa" w:w="120"/>
              </w:tcMar>
              <w:vAlign w:val="center"/>
            </w:tcPr>
            <w:p>
              <w:pPr>
                <w:jc w:val="left"/>
              </w:pPr>
              <w:r>
                <w:rPr>
                  <w:color w:val="1A1A2E"/>
                  <w:sz w:val="18"/>
                  <w:szCs w:val="18"/>
                </w:rPr>
                <w:t xml:space="preserve">El usuario mencionó esta necesidad durante la sesión, pero no es parte de los 5 módulos del MVP definidos en el anteproyecto aprobado. Queda documentado para fases posteriores.</w:t>
              </w:r>
            </w:p>
          </w:tc>
        </w:tr>
      </w:tbl>
    </w:p>
    <w:p>
      <w:pPr>
        <w:pBdr>
          <w:bottom w:val="single" w:color="2E75B6" w:sz="6"/>
        </w:pBdr>
        <w:spacing w:after="160" w:before="160"/>
      </w:pPr>
    </w:p>
    <w:p>
      <w:pPr>
        <w:pStyle w:val="Heading1"/>
        <w:spacing w:after="120" w:before="360"/>
        <w:rPr>
          <w:b/>
          <w:bCs/>
          <w:color w:val="1F3864"/>
          <w:sz w:val="28"/>
          <w:szCs w:val="28"/>
        </w:rPr>
      </w:pPr>
      <w:r>
        <w:t xml:space="preserve">8. CONSISTENCIA CON EL ANTEPROYECTO Y EL OBJETIVO ESPECÍFICO 1</w:t>
      </w:r>
    </w:p>
    <w:p>
      <w:pPr>
        <w:spacing w:after="80" w:before="80"/>
      </w:pPr>
      <w:r>
        <w:rPr>
          <w:color w:val="1A1A2E"/>
          <w:sz w:val="20"/>
          <w:szCs w:val="20"/>
        </w:rPr>
        <w:t xml:space="preserve">Los hallazgos de esta segunda entrevista son plenamente consistentes con el alcance y los objetivos definidos en el anteproyecto aprobado. Se verifican los siguientes puntos de alineación:</w:t>
      </w:r>
    </w:p>
    <w:p>
      <w:pPr>
        <w:pStyle w:val="Heading3"/>
        <w:spacing w:after="60" w:before="160"/>
      </w:pPr>
      <w:r>
        <w:rPr>
          <w:b/>
          <w:bCs/>
          <w:color w:val="2E75B6"/>
          <w:sz w:val="22"/>
          <w:szCs w:val="22"/>
        </w:rPr>
        <w:t xml:space="preserve">8.1 Objetivo específico 1</w:t>
      </w:r>
    </w:p>
    <w:p>
      <w:pPr>
        <w:spacing w:after="80" w:before="80"/>
      </w:pPr>
      <w:r>
        <w:rPr>
          <w:color w:val="1A1A2E"/>
          <w:sz w:val="20"/>
          <w:szCs w:val="20"/>
        </w:rPr>
        <w:t xml:space="preserve">El levantamiento de requerimientos realizado confirma las deficiencias de integridad (ausencia de validaciones clínicas, sobreescritura de registros), responsabilidad (sin identificación de usuario por operación) y autenticidad (sesiones sin gestión de tokens) documentadas como motivación del objetivo específico 4.</w:t>
      </w:r>
    </w:p>
    <w:p>
      <w:pPr>
        <w:pStyle w:val="Heading3"/>
        <w:spacing w:after="60" w:before="160"/>
      </w:pPr>
      <w:r>
        <w:rPr>
          <w:b/>
          <w:bCs/>
          <w:color w:val="2E75B6"/>
          <w:sz w:val="22"/>
          <w:szCs w:val="22"/>
        </w:rPr>
        <w:t xml:space="preserve">8.2 Marco teórico — Sección 4.4.1.1</w:t>
      </w:r>
    </w:p>
    <w:p>
      <w:pPr>
        <w:spacing w:after="80" w:before="80"/>
      </w:pPr>
      <w:r>
        <w:rPr>
          <w:color w:val="1A1A2E"/>
          <w:sz w:val="20"/>
          <w:szCs w:val="20"/>
        </w:rPr>
        <w:t xml:space="preserve">El flujo de atención descrito por el stakeholder (registro de paciente → examen optométrico con parámetros Sph/Cyl/Axis/Add → pedido al laboratorio → venta/facturación → cierre de caja) coincide exactamente con la descripción de procesos clínicos y administrativos del sector optométrico ya elaborada en el marco teórico del anteproyecto.</w:t>
      </w:r>
    </w:p>
    <w:p>
      <w:pPr>
        <w:pStyle w:val="Heading3"/>
        <w:spacing w:after="60" w:before="160"/>
      </w:pPr>
      <w:r>
        <w:rPr>
          <w:b/>
          <w:bCs/>
          <w:color w:val="2E75B6"/>
          <w:sz w:val="22"/>
          <w:szCs w:val="22"/>
        </w:rPr>
        <w:t xml:space="preserve">8.3 Matriz de módulos del MVP</w:t>
      </w:r>
    </w:p>
    <w:p>
      <w:pPr>
        <w:spacing w:after="80" w:before="80"/>
      </w:pPr>
      <w:r>
        <w:rPr>
          <w:color w:val="1A1A2E"/>
          <w:sz w:val="20"/>
          <w:szCs w:val="20"/>
        </w:rPr>
        <w:t xml:space="preserve">La totalidad de los requisitos funcionales derivados de esta sesión caben dentro de los 5 módulos del MVP ya definidos. Ningún hallazgo de la entrevista obliga a ampliar el alcance del sistema; las funcionalidades adicionales solicitadas (citas, SRI, WhatsApp, migración) quedan documentadas como trabajo futuro conforme a la estrategia de alcance ya aprobada.</w:t>
      </w:r>
    </w:p>
    <w:p>
      <w:pPr>
        <w:pStyle w:val="Heading3"/>
        <w:spacing w:after="60" w:before="160"/>
      </w:pPr>
      <w:r>
        <w:rPr>
          <w:b/>
          <w:bCs/>
          <w:color w:val="2E75B6"/>
          <w:sz w:val="22"/>
          <w:szCs w:val="22"/>
        </w:rPr>
        <w:t xml:space="preserve">8.4 Decisiones de diseño arquitectónico</w:t>
      </w:r>
    </w:p>
    <w:p>
      <w:pPr>
        <w:spacing w:after="80" w:before="80"/>
      </w:pPr>
      <w:r>
        <w:rPr>
          <w:color w:val="1A1A2E"/>
          <w:sz w:val="20"/>
          <w:szCs w:val="20"/>
        </w:rPr>
        <w:t xml:space="preserve">La decisión de arquitectura web (React + Laravel + PostgreSQL) y la consideración de PWA para acceso remoto, planteada por Ing. Santillán, refuerzan el criterio de mantenibilidad y escalabilidad declarado en la sección 4.4.2.6 del marco teórico (fiabilidad y mantenibilidad como atributos de diseño arquitectónico, no de evaluación empírica).</w:t>
      </w:r>
    </w:p>
    <w:p>
      <w:pPr>
        <w:pBdr>
          <w:bottom w:val="single" w:color="2E75B6" w:sz="6"/>
        </w:pBdr>
        <w:spacing w:after="160" w:before="160"/>
      </w:pPr>
    </w:p>
    <w:p>
      <w:pPr>
        <w:pStyle w:val="Heading1"/>
        <w:spacing w:after="120" w:before="360"/>
        <w:rPr>
          <w:b/>
          <w:bCs/>
          <w:color w:val="1F3864"/>
          <w:sz w:val="28"/>
          <w:szCs w:val="28"/>
        </w:rPr>
      </w:pPr>
      <w:r>
        <w:t xml:space="preserve">9. PRÓXIMOS PASOS</w:t>
      </w:r>
    </w:p>
    <w:p>
      <w:pPr>
        <w:spacing w:after="40" w:before="40"/>
        <w:ind w:left="360"/>
      </w:pPr>
      <w:r>
        <w:rPr>
          <w:b/>
          <w:bCs/>
          <w:color w:val="2E75B6"/>
          <w:sz w:val="20"/>
          <w:szCs w:val="20"/>
        </w:rPr>
        <w:t xml:space="preserve">1. </w:t>
      </w:r>
      <w:r>
        <w:rPr>
          <w:color w:val="1A1A2E"/>
          <w:sz w:val="20"/>
          <w:szCs w:val="20"/>
        </w:rPr>
        <w:t xml:space="preserve">Incorporar el campo 'origen de graduación' (Interno / Especialista externo) al formulario de Historia Clínica (M3) y al DER.</w:t>
      </w:r>
    </w:p>
    <w:p>
      <w:pPr>
        <w:spacing w:after="40" w:before="40"/>
        <w:ind w:left="360"/>
      </w:pPr>
      <w:r>
        <w:rPr>
          <w:b/>
          <w:bCs/>
          <w:color w:val="2E75B6"/>
          <w:sz w:val="20"/>
          <w:szCs w:val="20"/>
        </w:rPr>
        <w:t xml:space="preserve">2. </w:t>
      </w:r>
      <w:r>
        <w:rPr>
          <w:color w:val="1A1A2E"/>
          <w:sz w:val="20"/>
          <w:szCs w:val="20"/>
        </w:rPr>
        <w:t xml:space="preserve">Ampliar el Audit Log (RNF-06) para capturar también las operaciones de creación/modificación de historia clínica y generación de pedidos, además de ventas y devoluciones.</w:t>
      </w:r>
    </w:p>
    <w:p>
      <w:pPr>
        <w:spacing w:after="40" w:before="40"/>
        <w:ind w:left="360"/>
      </w:pPr>
      <w:r>
        <w:rPr>
          <w:b/>
          <w:bCs/>
          <w:color w:val="2E75B6"/>
          <w:sz w:val="20"/>
          <w:szCs w:val="20"/>
        </w:rPr>
        <w:t xml:space="preserve">3. </w:t>
      </w:r>
      <w:r>
        <w:rPr>
          <w:color w:val="1A1A2E"/>
          <w:sz w:val="20"/>
          <w:szCs w:val="20"/>
        </w:rPr>
        <w:t xml:space="preserve">Consolidar la Matriz de Trazabilidad de Requerimientos (instrumento 3 del anteproyecto), vinculando cada RF/RNF con su fuente (esta entrevista), su S-Tag de seguridad, su módulo y su criterio de aceptación.</w:t>
      </w:r>
    </w:p>
    <w:p>
      <w:pPr>
        <w:spacing w:after="40" w:before="40"/>
        <w:ind w:left="360"/>
      </w:pPr>
      <w:r>
        <w:rPr>
          <w:b/>
          <w:bCs/>
          <w:color w:val="2E75B6"/>
          <w:sz w:val="20"/>
          <w:szCs w:val="20"/>
        </w:rPr>
        <w:t xml:space="preserve">4. </w:t>
      </w:r>
      <w:r>
        <w:rPr>
          <w:color w:val="1A1A2E"/>
          <w:sz w:val="20"/>
          <w:szCs w:val="20"/>
        </w:rPr>
        <w:t xml:space="preserve">Validar el Product Backlog inicial con el Ing. Menéndez (Scrum Master) incorporando las historias de usuario derivadas de los RF-01 a RF-23 con sus S-Tags, como hito de cierre de la Fase 1 del cronograma (HITO 1: Product Backlog validado, 2026-06-03).</w:t>
      </w:r>
    </w:p>
    <w:p>
      <w:pPr>
        <w:spacing w:after="40" w:before="40"/>
        <w:ind w:left="360"/>
      </w:pPr>
      <w:r>
        <w:rPr>
          <w:b/>
          <w:bCs/>
          <w:color w:val="2E75B6"/>
          <w:sz w:val="20"/>
          <w:szCs w:val="20"/>
        </w:rPr>
        <w:t xml:space="preserve">5. </w:t>
      </w:r>
      <w:r>
        <w:rPr>
          <w:color w:val="1A1A2E"/>
          <w:sz w:val="20"/>
          <w:szCs w:val="20"/>
        </w:rPr>
        <w:t xml:space="preserve">Documentar los RF-FUT (01 a 05) en el repositorio del proyecto como backlog de trabajo futuro con especificación técnica suficiente para su implementación en fases posteriores a la defensa.</w:t>
      </w:r>
    </w:p>
    <w:p>
      <w:pPr>
        <w:pBdr>
          <w:bottom w:val="single" w:color="2E75B6" w:sz="6"/>
        </w:pBdr>
        <w:spacing w:after="160" w:before="160"/>
      </w:pPr>
    </w:p>
    <w:p>
      <w:pPr>
        <w:pStyle w:val="Heading1"/>
        <w:spacing w:after="120" w:before="360"/>
        <w:rPr>
          <w:b/>
          <w:bCs/>
          <w:color w:val="1F3864"/>
          <w:sz w:val="28"/>
          <w:szCs w:val="28"/>
        </w:rPr>
      </w:pPr>
      <w:r>
        <w:t xml:space="preserve">10. VALIDACIÓN Y FIRMAS</w:t>
      </w:r>
    </w:p>
    <w:p>
      <w:pPr>
        <w:spacing w:after="80" w:before="80"/>
      </w:pPr>
      <w:r>
        <w:rPr>
          <w:color w:val="1A1A2E"/>
          <w:sz w:val="20"/>
          <w:szCs w:val="20"/>
        </w:rPr>
        <w:t xml:space="preserve">El presente informe técnico ha sido elaborado por el equipo de desarrollo a partir del análisis del instrumento ANALISIS_ENTREVISTA_2.xlsx y del documento de requisitos detectados (requisitosDetectados.txt), en el marco del anteproyecto de titulación aprobado por la Facultad de Informática y Electrónica de la ESPOCH.</w:t>
      </w:r>
    </w:p>
    <w:p>
      <w:pPr>
        <w:spacing w:after="80" w:before="400"/>
      </w:pPr>
      <w:r>
        <w:rPr>
          <w:sz w:val="20"/>
          <w:szCs w:val="20"/>
        </w:rPr>
        <w:t xml:space="preserve">_____________________________          _____________________________</w:t>
      </w:r>
    </w:p>
    <w:p>
      <w:r>
        <w:rPr>
          <w:sz w:val="20"/>
          <w:szCs w:val="20"/>
        </w:rPr>
        <w:t xml:space="preserve">Omar Santiago Figueroa Díaz                   Alexander Rafael Villalva Dumancela</w:t>
      </w:r>
    </w:p>
    <w:p>
      <w:r>
        <w:rPr>
          <w:color w:val="595959"/>
          <w:sz w:val="20"/>
          <w:szCs w:val="20"/>
        </w:rPr>
        <w:t xml:space="preserve">Desarrollador Backend                                 Desarrollador Frontend</w:t>
      </w:r>
    </w:p>
    <w:p>
      <w:pPr>
        <w:spacing w:after="80" w:before="280"/>
      </w:pPr>
      <w:r>
        <w:rPr>
          <w:sz w:val="20"/>
          <w:szCs w:val="20"/>
        </w:rPr>
        <w:t xml:space="preserve">_____________________________</w:t>
      </w:r>
    </w:p>
    <w:p>
      <w:r>
        <w:rPr>
          <w:sz w:val="20"/>
          <w:szCs w:val="20"/>
        </w:rPr>
        <w:t xml:space="preserve">Menéndez Verdecia, Jorge Ariel</w:t>
      </w:r>
    </w:p>
    <w:p>
      <w:r>
        <w:rPr>
          <w:color w:val="595959"/>
          <w:sz w:val="20"/>
          <w:szCs w:val="20"/>
        </w:rPr>
        <w:t xml:space="preserve">Director — Scrum Master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2026-09-09T23:12:45.654Z</dcterms:created>
  <dcterms:modified xsi:type="dcterms:W3CDTF">2026-09-09T23:12:45.666Z</dcterms:modified>
</cp:coreProperties>
</file>

<file path=docProps/custom.xml><?xml version="1.0" encoding="utf-8"?>
<Properties xmlns="http://schemas.openxmlformats.org/officeDocument/2006/custom-properties" xmlns:vt="http://schemas.openxmlformats.org/officeDocument/2006/docPropsVTypes"/>
</file>