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DB2553" w14:textId="5B15A3EA" w:rsidR="005309AA" w:rsidRDefault="0012423A" w:rsidP="0012423A">
      <w:pPr>
        <w:pStyle w:val="Heading1"/>
      </w:pPr>
      <w:r>
        <w:t>Portfolio Decisions</w:t>
      </w:r>
    </w:p>
    <w:p w14:paraId="7E44F9E1" w14:textId="58A4267E" w:rsidR="00D33CFE" w:rsidRPr="00D33CFE" w:rsidRDefault="00D33CFE" w:rsidP="00787E09">
      <w:pPr>
        <w:jc w:val="both"/>
      </w:pPr>
      <w:r>
        <w:t>First, you choose the assets in your portfolio from the left column below: equity</w:t>
      </w:r>
      <w:r w:rsidR="00423829">
        <w:t xml:space="preserve"> (</w:t>
      </w:r>
      <w:proofErr w:type="gramStart"/>
      <w:r w:rsidR="00423829">
        <w:t>i.e.</w:t>
      </w:r>
      <w:proofErr w:type="gramEnd"/>
      <w:r w:rsidR="00423829">
        <w:t xml:space="preserve"> stocks)</w:t>
      </w:r>
      <w:r>
        <w:t>, equity &amp; bonds, or equity, bonds, and gold (we will talk about bonds and gold later).</w:t>
      </w:r>
      <w:r w:rsidR="00787E09">
        <w:t xml:space="preserve"> Then, you decide whether you want to be passive or active investor (will talk about what this means shortly). If you are passive, then you would invest in ETFs and index funds only. If you are active, then you will invest in stocks as well. </w:t>
      </w:r>
      <w:r w:rsidR="00EB78A7">
        <w:t xml:space="preserve">An active investor is the one who tries to beat the market. </w:t>
      </w:r>
      <w:r w:rsidR="00787E09">
        <w:t>We will talk shortly about why we don’t include mutual funds here.</w:t>
      </w:r>
    </w:p>
    <w:p w14:paraId="38E2A1C0" w14:textId="1E4FC814" w:rsidR="0012423A" w:rsidRDefault="00D33CFE" w:rsidP="00D33CFE">
      <w:pPr>
        <w:jc w:val="center"/>
      </w:pPr>
      <w:r w:rsidRPr="00D33CFE">
        <w:rPr>
          <w:noProof/>
        </w:rPr>
        <w:drawing>
          <wp:inline distT="0" distB="0" distL="0" distR="0" wp14:anchorId="75BB74AA" wp14:editId="29165BEF">
            <wp:extent cx="3138969" cy="1703294"/>
            <wp:effectExtent l="0" t="0" r="444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191839" cy="1731983"/>
                    </a:xfrm>
                    <a:prstGeom prst="rect">
                      <a:avLst/>
                    </a:prstGeom>
                  </pic:spPr>
                </pic:pic>
              </a:graphicData>
            </a:graphic>
          </wp:inline>
        </w:drawing>
      </w:r>
    </w:p>
    <w:p w14:paraId="3BA5AA8A" w14:textId="02F4D609" w:rsidR="00D464E5" w:rsidRDefault="008E73D1" w:rsidP="00D464E5">
      <w:pPr>
        <w:jc w:val="both"/>
      </w:pPr>
      <w:r>
        <w:t>If you selected to be an active investor, then you should choose your activity level from the table shown below.</w:t>
      </w:r>
      <w:r w:rsidR="00D464E5">
        <w:t xml:space="preserve"> Do you just want to actively select your assets allocation (</w:t>
      </w:r>
      <w:proofErr w:type="gramStart"/>
      <w:r w:rsidR="00D464E5">
        <w:t>i.e.</w:t>
      </w:r>
      <w:proofErr w:type="gramEnd"/>
      <w:r w:rsidR="00D464E5">
        <w:t xml:space="preserve"> percentage of each sector)? Or would you even go deeper and select specific securities in a sector? Would you like to do rebalancing? Tactical asset allocation? We will talk about all these shortly.</w:t>
      </w:r>
    </w:p>
    <w:p w14:paraId="19EF82B5" w14:textId="43A584B5" w:rsidR="00B71F73" w:rsidRDefault="00B71F73" w:rsidP="00B71F73">
      <w:pPr>
        <w:jc w:val="center"/>
      </w:pPr>
      <w:r w:rsidRPr="00B71F73">
        <w:rPr>
          <w:noProof/>
        </w:rPr>
        <w:drawing>
          <wp:inline distT="0" distB="0" distL="0" distR="0" wp14:anchorId="3FE0E666" wp14:editId="3D8719A6">
            <wp:extent cx="1267164" cy="1681292"/>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1294233" cy="1717208"/>
                    </a:xfrm>
                    <a:prstGeom prst="rect">
                      <a:avLst/>
                    </a:prstGeom>
                  </pic:spPr>
                </pic:pic>
              </a:graphicData>
            </a:graphic>
          </wp:inline>
        </w:drawing>
      </w:r>
    </w:p>
    <w:p w14:paraId="09FE7E3D" w14:textId="0E1DD996" w:rsidR="00201887" w:rsidRPr="0012423A" w:rsidRDefault="00201887" w:rsidP="00201887">
      <w:pPr>
        <w:jc w:val="both"/>
      </w:pPr>
      <w:r>
        <w:t xml:space="preserve">Making portfolio decisions is not easy. At the end of the course, you may still not be 100% sure of </w:t>
      </w:r>
      <w:r w:rsidR="00B5739D">
        <w:t>what to decide for your portfolio</w:t>
      </w:r>
      <w:r>
        <w:t xml:space="preserve">. </w:t>
      </w:r>
      <w:r w:rsidR="00B5739D">
        <w:t>Y</w:t>
      </w:r>
      <w:r>
        <w:t>ou can initially choose a simple portfolio until you gain more and more understanding.</w:t>
      </w:r>
      <w:r w:rsidR="001D21F6">
        <w:t xml:space="preserve"> If you are still unsure, you can better go to an investment advisor that can help you craft your portfolio.</w:t>
      </w:r>
      <w:r w:rsidR="00B5739D">
        <w:t xml:space="preserve"> However, bear in mind that this advisor will charge you fees, and we have seen in the excel sheet how fees can really reduce your profits. So, think well!</w:t>
      </w:r>
    </w:p>
    <w:p w14:paraId="352EF647" w14:textId="555340B6" w:rsidR="0012423A" w:rsidRDefault="0012423A" w:rsidP="0012423A">
      <w:pPr>
        <w:pStyle w:val="Heading1"/>
      </w:pPr>
      <w:r>
        <w:t>Mutual Funds vs Index Funds and ETFs</w:t>
      </w:r>
    </w:p>
    <w:p w14:paraId="0A5C4EBD" w14:textId="4A8FCAEA" w:rsidR="0012423A" w:rsidRPr="0012423A" w:rsidRDefault="009778BC" w:rsidP="007D5E52">
      <w:pPr>
        <w:jc w:val="both"/>
      </w:pPr>
      <w:r>
        <w:t xml:space="preserve">Remember that we said that </w:t>
      </w:r>
      <w:r w:rsidR="002A5019">
        <w:t xml:space="preserve">an </w:t>
      </w:r>
      <w:r>
        <w:t xml:space="preserve">index fund </w:t>
      </w:r>
      <w:r w:rsidR="002A5019">
        <w:t>is a</w:t>
      </w:r>
      <w:r>
        <w:t xml:space="preserve"> fund that </w:t>
      </w:r>
      <w:r>
        <w:rPr>
          <w:i/>
          <w:iCs/>
        </w:rPr>
        <w:t>passively</w:t>
      </w:r>
      <w:r>
        <w:t xml:space="preserve"> replicates the performance of an index. Accordingly, an index fund has low fee. On the other hand, </w:t>
      </w:r>
      <w:r w:rsidR="002A5019">
        <w:t xml:space="preserve">a </w:t>
      </w:r>
      <w:r>
        <w:t xml:space="preserve">mutual fund </w:t>
      </w:r>
      <w:r w:rsidR="002A5019">
        <w:t>has</w:t>
      </w:r>
      <w:r>
        <w:t xml:space="preserve"> active managers and analysts that </w:t>
      </w:r>
      <w:r>
        <w:rPr>
          <w:i/>
          <w:iCs/>
        </w:rPr>
        <w:t xml:space="preserve">actively </w:t>
      </w:r>
      <w:r>
        <w:t xml:space="preserve">try to beat the market. The reason why we don’t include mutual funds in our portfolio decisions is that statistics show that mutual funds are no way better, </w:t>
      </w:r>
      <w:r w:rsidR="002A5019">
        <w:t>they don’t beat the market</w:t>
      </w:r>
      <w:r>
        <w:t xml:space="preserve">! Check </w:t>
      </w:r>
      <w:hyperlink r:id="rId7" w:history="1">
        <w:r w:rsidRPr="007D5E52">
          <w:rPr>
            <w:rStyle w:val="Hyperlink"/>
          </w:rPr>
          <w:t>this</w:t>
        </w:r>
      </w:hyperlink>
      <w:r>
        <w:t xml:space="preserve"> article </w:t>
      </w:r>
      <w:r w:rsidR="007D5E52">
        <w:t>in</w:t>
      </w:r>
      <w:r>
        <w:t xml:space="preserve"> 2019, 92% of mutual fund managers trail/lag the S&amp;P500 index for the last 15 years!</w:t>
      </w:r>
      <w:r w:rsidR="002A5019">
        <w:t xml:space="preserve"> But why does this happen? Because the </w:t>
      </w:r>
      <w:proofErr w:type="gramStart"/>
      <w:r w:rsidR="002A5019">
        <w:t>fees</w:t>
      </w:r>
      <w:proofErr w:type="gramEnd"/>
      <w:r w:rsidR="002A5019">
        <w:t xml:space="preserve"> </w:t>
      </w:r>
      <w:r w:rsidR="005115C3">
        <w:t xml:space="preserve">of </w:t>
      </w:r>
      <w:r w:rsidR="002A5019">
        <w:t xml:space="preserve">an active fund is much higher than an index fund. So, when you invest in a mutual fund, even if you beat the market </w:t>
      </w:r>
      <w:proofErr w:type="gramStart"/>
      <w:r w:rsidR="002A5019">
        <w:t>in a given year</w:t>
      </w:r>
      <w:proofErr w:type="gramEnd"/>
      <w:r w:rsidR="002A5019">
        <w:t xml:space="preserve">, you are not earning more because you are paying higher fees. Furthermore, you can be even making less returns than the market because active funds invest in many </w:t>
      </w:r>
      <w:proofErr w:type="spellStart"/>
      <w:r w:rsidR="002A5019">
        <w:t>many</w:t>
      </w:r>
      <w:proofErr w:type="spellEnd"/>
      <w:r w:rsidR="002A5019">
        <w:t xml:space="preserve"> assets (</w:t>
      </w:r>
      <w:proofErr w:type="gramStart"/>
      <w:r w:rsidR="002A5019">
        <w:t>e.g.</w:t>
      </w:r>
      <w:proofErr w:type="gramEnd"/>
      <w:r w:rsidR="002A5019">
        <w:t xml:space="preserve"> 50 assets). So, they are </w:t>
      </w:r>
      <w:proofErr w:type="gramStart"/>
      <w:r w:rsidR="002A5019">
        <w:t>actually getting</w:t>
      </w:r>
      <w:proofErr w:type="gramEnd"/>
      <w:r w:rsidR="002A5019">
        <w:t xml:space="preserve"> closer and closer to the S&amp;P500 performance. So, you find yourself paying more and doing the same performance as the market, so </w:t>
      </w:r>
      <w:r w:rsidR="007F2DC9">
        <w:t>effectively</w:t>
      </w:r>
      <w:r w:rsidR="002A5019">
        <w:t xml:space="preserve"> you are making less profit.</w:t>
      </w:r>
      <w:r>
        <w:t xml:space="preserve"> </w:t>
      </w:r>
    </w:p>
    <w:p w14:paraId="2499CD8B" w14:textId="64A89CF7" w:rsidR="0012423A" w:rsidRDefault="0012423A" w:rsidP="0012423A">
      <w:pPr>
        <w:pStyle w:val="Heading1"/>
      </w:pPr>
      <w:r>
        <w:t>Efficient Market Hypothesis (EMH)</w:t>
      </w:r>
    </w:p>
    <w:p w14:paraId="0931A4CC" w14:textId="13B14843" w:rsidR="0012423A" w:rsidRPr="00261D10" w:rsidRDefault="00261D10" w:rsidP="00261D10">
      <w:pPr>
        <w:jc w:val="both"/>
      </w:pPr>
      <w:r>
        <w:t xml:space="preserve">This hypothesis has been historically known for a very long period and it has been always arguable. It has 3 different forms that are mentioned in </w:t>
      </w:r>
      <w:hyperlink r:id="rId8" w:history="1">
        <w:r w:rsidRPr="00261D10">
          <w:rPr>
            <w:rStyle w:val="Hyperlink"/>
          </w:rPr>
          <w:t>this</w:t>
        </w:r>
      </w:hyperlink>
      <w:r>
        <w:t xml:space="preserve"> pdf. In conclusion, this hypothesis states that you </w:t>
      </w:r>
      <w:r w:rsidR="001A2CD8">
        <w:t>can’t</w:t>
      </w:r>
      <w:r>
        <w:t xml:space="preserve"> beat the market because, for you to try to beat the market, you will use data and information about the company (</w:t>
      </w:r>
      <w:proofErr w:type="gramStart"/>
      <w:r>
        <w:t>e.g.</w:t>
      </w:r>
      <w:proofErr w:type="gramEnd"/>
      <w:r>
        <w:t xml:space="preserve"> financial statements, PE, PB, </w:t>
      </w:r>
      <w:proofErr w:type="spellStart"/>
      <w:r>
        <w:t>etc</w:t>
      </w:r>
      <w:proofErr w:type="spellEnd"/>
      <w:r>
        <w:t xml:space="preserve">) that </w:t>
      </w:r>
      <w:r>
        <w:rPr>
          <w:i/>
          <w:iCs/>
        </w:rPr>
        <w:t>everyone else knows</w:t>
      </w:r>
      <w:r>
        <w:t xml:space="preserve">. So, you can’t simply make profit using something that everyone else knows. </w:t>
      </w:r>
      <w:r w:rsidR="001A2CD8">
        <w:t xml:space="preserve">One form of the hypothesis even goes further and say that you can’t beat the market even if </w:t>
      </w:r>
      <w:r w:rsidR="00ED106D">
        <w:t>you know information that are not public (</w:t>
      </w:r>
      <w:proofErr w:type="gramStart"/>
      <w:r w:rsidR="00ED106D">
        <w:t>i.e.</w:t>
      </w:r>
      <w:proofErr w:type="gramEnd"/>
      <w:r w:rsidR="00ED106D">
        <w:t xml:space="preserve"> you are a company’s insider). </w:t>
      </w:r>
      <w:r>
        <w:t xml:space="preserve">However, many </w:t>
      </w:r>
      <w:r w:rsidR="00014012">
        <w:t xml:space="preserve">well-known investors like Warren Buffett and Ray </w:t>
      </w:r>
      <w:proofErr w:type="spellStart"/>
      <w:r w:rsidR="00014012">
        <w:t>Dalio</w:t>
      </w:r>
      <w:proofErr w:type="spellEnd"/>
      <w:r>
        <w:t xml:space="preserve"> do not agree with this hypothesis </w:t>
      </w:r>
      <w:r w:rsidR="00A91F7C">
        <w:t xml:space="preserve">because they </w:t>
      </w:r>
      <w:proofErr w:type="gramStart"/>
      <w:r w:rsidR="00A91F7C">
        <w:t>actually beat</w:t>
      </w:r>
      <w:proofErr w:type="gramEnd"/>
      <w:r w:rsidR="00A91F7C">
        <w:t xml:space="preserve"> the market consistently for many years</w:t>
      </w:r>
      <w:r w:rsidR="001F6BB1">
        <w:t xml:space="preserve"> using the public information available.</w:t>
      </w:r>
    </w:p>
    <w:p w14:paraId="4B76EDE2" w14:textId="4A88C2A1" w:rsidR="0012423A" w:rsidRDefault="0012423A" w:rsidP="0012423A">
      <w:pPr>
        <w:pStyle w:val="Heading1"/>
      </w:pPr>
      <w:r>
        <w:t>Expectations</w:t>
      </w:r>
    </w:p>
    <w:p w14:paraId="562EFA20" w14:textId="55093156" w:rsidR="00971464" w:rsidRPr="004C2602" w:rsidRDefault="00E755C1" w:rsidP="004C2602">
      <w:pPr>
        <w:jc w:val="both"/>
        <w:rPr>
          <w:b/>
          <w:bCs/>
        </w:rPr>
      </w:pPr>
      <w:r>
        <w:t xml:space="preserve">What makes investing decisions </w:t>
      </w:r>
      <w:proofErr w:type="gramStart"/>
      <w:r>
        <w:t>really hard</w:t>
      </w:r>
      <w:proofErr w:type="gramEnd"/>
      <w:r>
        <w:t xml:space="preserve"> is that everyone else is thinking how to make profits just like you! So, you might think that Tesla will dominate the vehicles market in the future and electric cars will be everywhere</w:t>
      </w:r>
      <w:r w:rsidR="007E786E">
        <w:t>, so does everyone else! In this case, the price of Tesla’s share will go up, not because it is making great earnings today, but because everyone “expects” that it will in the future. For example, people expect Tesla’s earnings per share will be $1 for example. If Tesla’s earnings per share in the future is exactly $1, then Tesla’s share price will not go up because it was already valued at this expectation, so you won’t make profit! You make profit only when reality exceeds expectations</w:t>
      </w:r>
      <w:r w:rsidR="00D4467E">
        <w:t>, which is when a company is undervalued.</w:t>
      </w:r>
      <w:r w:rsidR="007E786E">
        <w:t xml:space="preserve"> </w:t>
      </w:r>
      <w:r w:rsidR="004B585C">
        <w:t xml:space="preserve">A great example that you indeed lived is TMGH. After the Ras Al </w:t>
      </w:r>
      <w:proofErr w:type="spellStart"/>
      <w:r w:rsidR="004B585C">
        <w:t>Hekma</w:t>
      </w:r>
      <w:proofErr w:type="spellEnd"/>
      <w:r w:rsidR="004B585C">
        <w:t xml:space="preserve"> project, everyone expected that TMGH profits will skyrocket in the future because of this project, so TMGH share price skyrocketed. Did it go up because TMGH’s earnings suddenly increased? No, it is just because people anticipate that the earnings will increase in the future. So, if you are thinking about whether you should invest in TMGH or not after its share price has already skyrocketed, you should ask yourself: “Is the company now undervalued and, </w:t>
      </w:r>
      <w:r w:rsidR="002E1270">
        <w:t>i</w:t>
      </w:r>
      <w:r w:rsidR="004B585C">
        <w:t>n the future, the company’s earnings will exceed people expectations? Did the people overvalued the company and it won’t make as m</w:t>
      </w:r>
      <w:r w:rsidR="008029A1">
        <w:t>any</w:t>
      </w:r>
      <w:r w:rsidR="004B585C">
        <w:t xml:space="preserve"> earnings in the future?”. </w:t>
      </w:r>
      <w:r w:rsidR="007E786E">
        <w:t xml:space="preserve">So, always remember, </w:t>
      </w:r>
      <w:r w:rsidR="007E786E" w:rsidRPr="007E786E">
        <w:rPr>
          <w:b/>
          <w:bCs/>
        </w:rPr>
        <w:t>“stock p</w:t>
      </w:r>
      <w:r w:rsidR="008930D3" w:rsidRPr="007E786E">
        <w:rPr>
          <w:b/>
          <w:bCs/>
        </w:rPr>
        <w:t xml:space="preserve">rices are </w:t>
      </w:r>
      <w:r w:rsidR="008029A1">
        <w:rPr>
          <w:b/>
          <w:bCs/>
        </w:rPr>
        <w:t xml:space="preserve">all </w:t>
      </w:r>
      <w:r w:rsidR="008930D3" w:rsidRPr="007E786E">
        <w:rPr>
          <w:b/>
          <w:bCs/>
        </w:rPr>
        <w:t>about expectations</w:t>
      </w:r>
      <w:r w:rsidR="007E786E" w:rsidRPr="007E786E">
        <w:rPr>
          <w:b/>
          <w:bCs/>
        </w:rPr>
        <w:t>”.</w:t>
      </w:r>
    </w:p>
    <w:p w14:paraId="2EBA5223" w14:textId="6AD11D68" w:rsidR="0012423A" w:rsidRDefault="0012423A" w:rsidP="0012423A">
      <w:pPr>
        <w:pStyle w:val="Heading1"/>
      </w:pPr>
      <w:r>
        <w:t>Passive vs Active Investing</w:t>
      </w:r>
    </w:p>
    <w:p w14:paraId="580EF87D" w14:textId="1AFADDA9" w:rsidR="0012423A" w:rsidRDefault="00595697" w:rsidP="00595697">
      <w:pPr>
        <w:pStyle w:val="ListParagraph"/>
        <w:numPr>
          <w:ilvl w:val="0"/>
          <w:numId w:val="1"/>
        </w:numPr>
        <w:jc w:val="both"/>
      </w:pPr>
      <w:r>
        <w:t>Passive investing: you are getting your fair share of the market returns. If the market goes up, you earn as much. If it goes down, you lose as much.</w:t>
      </w:r>
    </w:p>
    <w:p w14:paraId="63C97245" w14:textId="71A5B3EE" w:rsidR="00595697" w:rsidRDefault="00595697" w:rsidP="00595697">
      <w:pPr>
        <w:pStyle w:val="ListParagraph"/>
        <w:numPr>
          <w:ilvl w:val="0"/>
          <w:numId w:val="1"/>
        </w:numPr>
        <w:jc w:val="both"/>
      </w:pPr>
      <w:r>
        <w:t>Active investing: you are trying to beat the market. You can only achieve this by being differently diversifying than the market and thus take on the risk of achieving less return than the market.</w:t>
      </w:r>
    </w:p>
    <w:p w14:paraId="2187592E" w14:textId="77777777" w:rsidR="005C5252" w:rsidRDefault="005C5252" w:rsidP="005C5252">
      <w:pPr>
        <w:pStyle w:val="ListParagraph"/>
        <w:jc w:val="both"/>
      </w:pPr>
    </w:p>
    <w:p w14:paraId="3355DC89" w14:textId="77777777" w:rsidR="002E1270" w:rsidRDefault="002E1270" w:rsidP="005C5252">
      <w:pPr>
        <w:pStyle w:val="ListParagraph"/>
        <w:jc w:val="both"/>
      </w:pPr>
    </w:p>
    <w:p w14:paraId="3FF6318D" w14:textId="77777777" w:rsidR="002E1270" w:rsidRPr="0012423A" w:rsidRDefault="002E1270" w:rsidP="005C5252">
      <w:pPr>
        <w:pStyle w:val="ListParagraph"/>
        <w:jc w:val="both"/>
      </w:pPr>
    </w:p>
    <w:p w14:paraId="11DC0E4E" w14:textId="6B2082CA" w:rsidR="0012423A" w:rsidRDefault="0012423A" w:rsidP="0012423A">
      <w:pPr>
        <w:pStyle w:val="Heading1"/>
      </w:pPr>
      <w:r>
        <w:lastRenderedPageBreak/>
        <w:t>Passive All-Stock Portfolio</w:t>
      </w:r>
    </w:p>
    <w:p w14:paraId="143F703D" w14:textId="1DAF873F" w:rsidR="006854F1" w:rsidRPr="006854F1" w:rsidRDefault="006854F1" w:rsidP="006854F1">
      <w:r>
        <w:t>We will now discuss passive investing. Let’s get back to this table:</w:t>
      </w:r>
    </w:p>
    <w:p w14:paraId="5E94A146" w14:textId="5BA95E5C" w:rsidR="0012423A" w:rsidRDefault="006854F1" w:rsidP="006854F1">
      <w:pPr>
        <w:jc w:val="center"/>
      </w:pPr>
      <w:r w:rsidRPr="006854F1">
        <w:rPr>
          <w:noProof/>
        </w:rPr>
        <w:drawing>
          <wp:inline distT="0" distB="0" distL="0" distR="0" wp14:anchorId="0B95D687" wp14:editId="01AF5770">
            <wp:extent cx="1910979" cy="1555898"/>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939800" cy="1579364"/>
                    </a:xfrm>
                    <a:prstGeom prst="rect">
                      <a:avLst/>
                    </a:prstGeom>
                  </pic:spPr>
                </pic:pic>
              </a:graphicData>
            </a:graphic>
          </wp:inline>
        </w:drawing>
      </w:r>
    </w:p>
    <w:p w14:paraId="30F1EA13" w14:textId="77777777" w:rsidR="00417761" w:rsidRDefault="006854F1" w:rsidP="00935422">
      <w:pPr>
        <w:jc w:val="both"/>
      </w:pPr>
      <w:r>
        <w:t>Mohsen Hassan advice:</w:t>
      </w:r>
    </w:p>
    <w:p w14:paraId="489C1839" w14:textId="7FA5C367" w:rsidR="00417761" w:rsidRDefault="006854F1" w:rsidP="00417761">
      <w:pPr>
        <w:pStyle w:val="ListParagraph"/>
        <w:numPr>
          <w:ilvl w:val="0"/>
          <w:numId w:val="1"/>
        </w:numPr>
        <w:jc w:val="both"/>
      </w:pPr>
      <w:r>
        <w:t xml:space="preserve">if you are under 40 and retiring at 60+, choose </w:t>
      </w:r>
      <w:r w:rsidR="00EC5088">
        <w:t xml:space="preserve">an </w:t>
      </w:r>
      <w:r>
        <w:t>equity</w:t>
      </w:r>
      <w:r w:rsidR="0011678B">
        <w:t>-only</w:t>
      </w:r>
      <w:r>
        <w:t xml:space="preserve"> portfolio.</w:t>
      </w:r>
      <w:r w:rsidR="00835AB8">
        <w:t xml:space="preserve"> Why? Because, on the long run, equity outperforms bonds and gold.</w:t>
      </w:r>
      <w:r w:rsidR="00423829">
        <w:t xml:space="preserve"> The problem with equity is t</w:t>
      </w:r>
      <w:r w:rsidR="00EE0BFE">
        <w:t>hat stocks are volatile; one year the market may make high profit, but one other year it might lose.</w:t>
      </w:r>
      <w:r w:rsidR="009814A6">
        <w:t xml:space="preserve"> But on the long run, it will make higher profit on average compared to bonds and gold. So, if you are under 40, you still have time to benefit from equity’s higher profit on the long run regardless</w:t>
      </w:r>
      <w:r w:rsidR="0011678B">
        <w:t xml:space="preserve"> of</w:t>
      </w:r>
      <w:r w:rsidR="009814A6">
        <w:t xml:space="preserve"> their volatility.</w:t>
      </w:r>
      <w:r w:rsidR="005D3A30">
        <w:t xml:space="preserve"> So, bear in mind that, by investing in equity, you are ready to leave the money you are investing for at least 5 years</w:t>
      </w:r>
      <w:r w:rsidR="00BB6213">
        <w:t>; if you need the money you are investing in equity soon, then investing in equity is not for you.</w:t>
      </w:r>
      <w:r w:rsidR="001E20DB">
        <w:t xml:space="preserve"> </w:t>
      </w:r>
      <w:bookmarkStart w:id="0" w:name="OLE_LINK11"/>
    </w:p>
    <w:p w14:paraId="73BD01AB" w14:textId="0533B35B" w:rsidR="00854535" w:rsidRDefault="00E81A38" w:rsidP="00417761">
      <w:pPr>
        <w:pStyle w:val="ListParagraph"/>
        <w:numPr>
          <w:ilvl w:val="0"/>
          <w:numId w:val="1"/>
        </w:numPr>
        <w:jc w:val="both"/>
      </w:pPr>
      <w:r>
        <w:t>Of course, it is undoubtful that it is advised that you take a certain percentage of your monthly salary and invest it in stocks. But what if you have a bulk of money (</w:t>
      </w:r>
      <w:proofErr w:type="gramStart"/>
      <w:r>
        <w:t>e.g.</w:t>
      </w:r>
      <w:proofErr w:type="gramEnd"/>
      <w:r>
        <w:t xml:space="preserve"> </w:t>
      </w:r>
      <w:r w:rsidR="00EC5088">
        <w:t xml:space="preserve">bonus, </w:t>
      </w:r>
      <w:r>
        <w:t xml:space="preserve">inheritance, </w:t>
      </w:r>
      <w:proofErr w:type="spellStart"/>
      <w:r>
        <w:t>etc</w:t>
      </w:r>
      <w:proofErr w:type="spellEnd"/>
      <w:r>
        <w:t xml:space="preserve">)? Should you invest it regularly as you do with your salary, or should you put it all once in the stock market? This is a debatable topic that compares “Dollar-Cost Averaging (DCA)” and Lump-Sum” strategies. </w:t>
      </w:r>
      <w:bookmarkEnd w:id="0"/>
      <w:r w:rsidR="004A578F">
        <w:t xml:space="preserve">Read </w:t>
      </w:r>
      <w:hyperlink r:id="rId10" w:history="1">
        <w:r w:rsidR="004A578F" w:rsidRPr="004A578F">
          <w:rPr>
            <w:rStyle w:val="Hyperlink"/>
          </w:rPr>
          <w:t>this</w:t>
        </w:r>
      </w:hyperlink>
      <w:r w:rsidR="007715C0">
        <w:t xml:space="preserve"> an</w:t>
      </w:r>
      <w:r w:rsidR="003279FB">
        <w:t>d</w:t>
      </w:r>
      <w:r w:rsidR="004A578F">
        <w:t xml:space="preserve"> </w:t>
      </w:r>
      <w:hyperlink r:id="rId11" w:history="1">
        <w:r w:rsidR="004A578F" w:rsidRPr="004A578F">
          <w:rPr>
            <w:rStyle w:val="Hyperlink"/>
          </w:rPr>
          <w:t>this</w:t>
        </w:r>
      </w:hyperlink>
      <w:r w:rsidR="007715C0">
        <w:t>.</w:t>
      </w:r>
      <w:r w:rsidR="00D06C52">
        <w:t xml:space="preserve"> </w:t>
      </w:r>
      <w:r w:rsidR="007715C0">
        <w:t>W</w:t>
      </w:r>
      <w:r w:rsidR="00D06C52">
        <w:t xml:space="preserve">atch </w:t>
      </w:r>
      <w:hyperlink r:id="rId12" w:history="1">
        <w:r w:rsidR="00D06C52" w:rsidRPr="00D06C52">
          <w:rPr>
            <w:rStyle w:val="Hyperlink"/>
          </w:rPr>
          <w:t>this</w:t>
        </w:r>
      </w:hyperlink>
      <w:r w:rsidR="007715C0">
        <w:t xml:space="preserve"> and </w:t>
      </w:r>
      <w:hyperlink r:id="rId13" w:history="1">
        <w:r w:rsidR="007715C0" w:rsidRPr="007715C0">
          <w:rPr>
            <w:rStyle w:val="Hyperlink"/>
          </w:rPr>
          <w:t>this</w:t>
        </w:r>
      </w:hyperlink>
      <w:r w:rsidR="007715C0">
        <w:t>.</w:t>
      </w:r>
      <w:r>
        <w:t xml:space="preserve"> </w:t>
      </w:r>
      <w:r w:rsidR="003279FB">
        <w:t xml:space="preserve">Read </w:t>
      </w:r>
      <w:hyperlink r:id="rId14" w:history="1">
        <w:r w:rsidR="003279FB" w:rsidRPr="003279FB">
          <w:rPr>
            <w:rStyle w:val="Hyperlink"/>
          </w:rPr>
          <w:t>this</w:t>
        </w:r>
      </w:hyperlink>
      <w:r w:rsidR="003279FB">
        <w:t xml:space="preserve"> and </w:t>
      </w:r>
      <w:hyperlink r:id="rId15" w:history="1">
        <w:r w:rsidR="003279FB" w:rsidRPr="003279FB">
          <w:rPr>
            <w:rStyle w:val="Hyperlink"/>
          </w:rPr>
          <w:t>this</w:t>
        </w:r>
      </w:hyperlink>
      <w:r w:rsidR="003279FB">
        <w:t>.</w:t>
      </w:r>
    </w:p>
    <w:p w14:paraId="1540E0E5" w14:textId="1678B7EB" w:rsidR="00417761" w:rsidRPr="00854535" w:rsidRDefault="00417761" w:rsidP="00417761">
      <w:pPr>
        <w:pStyle w:val="ListParagraph"/>
        <w:numPr>
          <w:ilvl w:val="0"/>
          <w:numId w:val="1"/>
        </w:numPr>
        <w:jc w:val="both"/>
      </w:pPr>
      <w:r>
        <w:t xml:space="preserve">We said you should be consistent and buying stocks on regular basis. When the market crashes, many people stop buying while this is </w:t>
      </w:r>
      <w:proofErr w:type="gramStart"/>
      <w:r>
        <w:t>actually the</w:t>
      </w:r>
      <w:proofErr w:type="gramEnd"/>
      <w:r>
        <w:t xml:space="preserve"> best time to buy! It is like there is a discount! For example, when the pandemic broke out in 2020, people stopped buying stock</w:t>
      </w:r>
      <w:r w:rsidR="00FE6164">
        <w:t>s</w:t>
      </w:r>
      <w:r>
        <w:t xml:space="preserve">. This was </w:t>
      </w:r>
      <w:proofErr w:type="gramStart"/>
      <w:r>
        <w:t>actually one</w:t>
      </w:r>
      <w:proofErr w:type="gramEnd"/>
      <w:r>
        <w:t xml:space="preserve"> of the best times to have bought stocks because the market rebounded after. Actually, you as a young investor, you should wish that the market crashes because you are still </w:t>
      </w:r>
      <w:proofErr w:type="gramStart"/>
      <w:r>
        <w:t>young</w:t>
      </w:r>
      <w:proofErr w:type="gramEnd"/>
      <w:r>
        <w:t xml:space="preserve"> and you want to buy more stocks at cheap</w:t>
      </w:r>
      <w:r w:rsidR="00D861D4">
        <w:t>er</w:t>
      </w:r>
      <w:r>
        <w:t xml:space="preserve"> price</w:t>
      </w:r>
      <w:r w:rsidR="00D861D4">
        <w:t>s</w:t>
      </w:r>
      <w:r>
        <w:t>!</w:t>
      </w:r>
    </w:p>
    <w:p w14:paraId="5D903115" w14:textId="29C31177" w:rsidR="0012423A" w:rsidRDefault="0012423A" w:rsidP="0012423A">
      <w:pPr>
        <w:pStyle w:val="Heading1"/>
      </w:pPr>
      <w:r>
        <w:t>Active Asset Allocation</w:t>
      </w:r>
    </w:p>
    <w:p w14:paraId="08A32EDE" w14:textId="0E442813" w:rsidR="0012423A" w:rsidRDefault="002E1270" w:rsidP="0012423A">
      <w:r>
        <w:t>Let’s now talk about active investing. As we said, the activity levels are as shown below:</w:t>
      </w:r>
    </w:p>
    <w:p w14:paraId="19E29271" w14:textId="477D7E65" w:rsidR="002E1270" w:rsidRDefault="002E1270" w:rsidP="002E1270">
      <w:pPr>
        <w:jc w:val="center"/>
      </w:pPr>
      <w:r>
        <w:rPr>
          <w:noProof/>
        </w:rPr>
        <w:drawing>
          <wp:inline distT="0" distB="0" distL="0" distR="0" wp14:anchorId="3466C8FA" wp14:editId="7AB59AF0">
            <wp:extent cx="1106541" cy="146812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1116020" cy="1480697"/>
                    </a:xfrm>
                    <a:prstGeom prst="rect">
                      <a:avLst/>
                    </a:prstGeom>
                  </pic:spPr>
                </pic:pic>
              </a:graphicData>
            </a:graphic>
          </wp:inline>
        </w:drawing>
      </w:r>
    </w:p>
    <w:p w14:paraId="118416E7" w14:textId="165A68AB" w:rsidR="002E1270" w:rsidRDefault="002E1270" w:rsidP="0028124A">
      <w:pPr>
        <w:jc w:val="both"/>
      </w:pPr>
      <w:r>
        <w:lastRenderedPageBreak/>
        <w:t>We will now talk about the first level, actively selecting asset allocation.</w:t>
      </w:r>
      <w:r w:rsidR="0028124A">
        <w:t xml:space="preserve"> We said that the S&amp;P500 has a certain different percentage of each sector. If you decided to choose a different allocation than that of the market, then you are said to be actively selecting asset allocation. </w:t>
      </w:r>
    </w:p>
    <w:p w14:paraId="3CCF5D76" w14:textId="3F6DF5D5" w:rsidR="004421E6" w:rsidRDefault="004421E6" w:rsidP="0028124A">
      <w:pPr>
        <w:jc w:val="both"/>
      </w:pPr>
      <w:r>
        <w:t xml:space="preserve">So, let’s say we have </w:t>
      </w:r>
      <w:r w:rsidR="00A83870">
        <w:t>3</w:t>
      </w:r>
      <w:r>
        <w:t xml:space="preserve"> investors that are trying to actively beat the market as follows:</w:t>
      </w:r>
    </w:p>
    <w:p w14:paraId="1C947BF8" w14:textId="3A8BFF47" w:rsidR="004421E6" w:rsidRDefault="004421E6" w:rsidP="004421E6">
      <w:pPr>
        <w:pStyle w:val="ListParagraph"/>
        <w:numPr>
          <w:ilvl w:val="0"/>
          <w:numId w:val="2"/>
        </w:numPr>
        <w:jc w:val="both"/>
      </w:pPr>
      <w:r>
        <w:t>He decides to invest in the top 80 companies in the S&amp;P500 that pay dividends</w:t>
      </w:r>
      <w:r w:rsidR="00A83870">
        <w:t xml:space="preserve"> </w:t>
      </w:r>
      <w:r w:rsidR="00A83870">
        <w:sym w:font="Wingdings" w:char="F0E0"/>
      </w:r>
      <w:r w:rsidR="00A83870">
        <w:t xml:space="preserve"> SPYD ETF.</w:t>
      </w:r>
    </w:p>
    <w:p w14:paraId="029C31BD" w14:textId="5D6F7986" w:rsidR="00A83870" w:rsidRDefault="00A83870" w:rsidP="004421E6">
      <w:pPr>
        <w:pStyle w:val="ListParagraph"/>
        <w:numPr>
          <w:ilvl w:val="0"/>
          <w:numId w:val="2"/>
        </w:numPr>
        <w:jc w:val="both"/>
      </w:pPr>
      <w:r>
        <w:t xml:space="preserve">He decides to invest in large US value stocks </w:t>
      </w:r>
      <w:r>
        <w:sym w:font="Wingdings" w:char="F0E0"/>
      </w:r>
      <w:r>
        <w:t xml:space="preserve"> RPV ETF.</w:t>
      </w:r>
    </w:p>
    <w:p w14:paraId="1ADBB637" w14:textId="50864684" w:rsidR="004421E6" w:rsidRDefault="00A83870" w:rsidP="00A83870">
      <w:pPr>
        <w:pStyle w:val="ListParagraph"/>
        <w:numPr>
          <w:ilvl w:val="0"/>
          <w:numId w:val="2"/>
        </w:numPr>
        <w:jc w:val="both"/>
      </w:pPr>
      <w:r>
        <w:t>He decides to invest divide his portfolio equally between t</w:t>
      </w:r>
      <w:r w:rsidR="004421E6">
        <w:t>echnology</w:t>
      </w:r>
      <w:r>
        <w:t xml:space="preserve"> (XLK ETF),</w:t>
      </w:r>
      <w:r w:rsidR="004421E6">
        <w:t xml:space="preserve"> </w:t>
      </w:r>
      <w:r>
        <w:t>h</w:t>
      </w:r>
      <w:r w:rsidR="004421E6">
        <w:t>ealth</w:t>
      </w:r>
      <w:r>
        <w:t>care (XLV ETF), c</w:t>
      </w:r>
      <w:r w:rsidR="004421E6">
        <w:t xml:space="preserve">onsumer </w:t>
      </w:r>
      <w:r>
        <w:t>s</w:t>
      </w:r>
      <w:r w:rsidR="004421E6">
        <w:t>taples</w:t>
      </w:r>
      <w:r>
        <w:t xml:space="preserve"> (XLP), and consumer discretionary (XLY) sectors only. </w:t>
      </w:r>
    </w:p>
    <w:p w14:paraId="66E0A40F" w14:textId="07807904" w:rsidR="00A83870" w:rsidRDefault="003E6319" w:rsidP="0028124A">
      <w:pPr>
        <w:jc w:val="both"/>
      </w:pPr>
      <w:r>
        <w:t>Now, let’s compare these 3 portfolios together to the market:</w:t>
      </w:r>
    </w:p>
    <w:p w14:paraId="6F6997A3" w14:textId="6DF0B504" w:rsidR="003E6319" w:rsidRDefault="003E6319" w:rsidP="0028124A">
      <w:pPr>
        <w:jc w:val="both"/>
      </w:pPr>
      <w:r w:rsidRPr="003E6319">
        <w:rPr>
          <w:noProof/>
        </w:rPr>
        <w:drawing>
          <wp:inline distT="0" distB="0" distL="0" distR="0" wp14:anchorId="465D4C0B" wp14:editId="7E80DCF9">
            <wp:extent cx="5943600" cy="290258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902585"/>
                    </a:xfrm>
                    <a:prstGeom prst="rect">
                      <a:avLst/>
                    </a:prstGeom>
                  </pic:spPr>
                </pic:pic>
              </a:graphicData>
            </a:graphic>
          </wp:inline>
        </w:drawing>
      </w:r>
    </w:p>
    <w:p w14:paraId="2688A800" w14:textId="41655CC6" w:rsidR="004421E6" w:rsidRDefault="003E6319" w:rsidP="00085FF2">
      <w:pPr>
        <w:jc w:val="both"/>
      </w:pPr>
      <w:r>
        <w:t xml:space="preserve">As you can see, portfolio 1 and 2 has less performance compared to the market. Only the third portfolio has beaten the market. This shows you that choosing your portfolio such that you beat the market is not an easy task, and you might end up performing worse than the market. </w:t>
      </w:r>
      <w:r w:rsidR="00942F04">
        <w:t>Also, portfolio 3 showing better performance than the market doesn’t mean it will in the future. So, even if you are willing to be an active investor, you should s</w:t>
      </w:r>
      <w:r w:rsidR="004421E6">
        <w:t>tart passive and slowly turn active</w:t>
      </w:r>
      <w:r w:rsidR="00942F04">
        <w:t xml:space="preserve"> as you learn</w:t>
      </w:r>
      <w:r w:rsidR="00085FF2">
        <w:t xml:space="preserve"> more</w:t>
      </w:r>
      <w:r w:rsidR="00942F04">
        <w:t>.</w:t>
      </w:r>
      <w:r w:rsidR="00085FF2">
        <w:t xml:space="preserve"> Where can you learn? From the news. Here are some resources:</w:t>
      </w:r>
    </w:p>
    <w:p w14:paraId="72CEF6CA" w14:textId="3ED41707" w:rsidR="00085FF2" w:rsidRDefault="00000000" w:rsidP="00085FF2">
      <w:pPr>
        <w:pStyle w:val="ListParagraph"/>
        <w:numPr>
          <w:ilvl w:val="0"/>
          <w:numId w:val="4"/>
        </w:numPr>
        <w:jc w:val="both"/>
      </w:pPr>
      <w:hyperlink r:id="rId17" w:history="1">
        <w:r w:rsidR="00085FF2" w:rsidRPr="00085FF2">
          <w:rPr>
            <w:rStyle w:val="Hyperlink"/>
          </w:rPr>
          <w:t>The New York Times</w:t>
        </w:r>
      </w:hyperlink>
      <w:r w:rsidR="00085FF2">
        <w:t>.</w:t>
      </w:r>
    </w:p>
    <w:p w14:paraId="66B19A5A" w14:textId="1C259DAA" w:rsidR="00085FF2" w:rsidRDefault="00000000" w:rsidP="00085FF2">
      <w:pPr>
        <w:pStyle w:val="ListParagraph"/>
        <w:numPr>
          <w:ilvl w:val="0"/>
          <w:numId w:val="4"/>
        </w:numPr>
        <w:jc w:val="both"/>
      </w:pPr>
      <w:hyperlink r:id="rId18" w:history="1">
        <w:r w:rsidR="00085FF2" w:rsidRPr="00085FF2">
          <w:rPr>
            <w:rStyle w:val="Hyperlink"/>
          </w:rPr>
          <w:t>The Wall Street Journal</w:t>
        </w:r>
      </w:hyperlink>
      <w:r w:rsidR="00085FF2">
        <w:t>.</w:t>
      </w:r>
    </w:p>
    <w:p w14:paraId="272FA9A6" w14:textId="1593DD1B" w:rsidR="00085FF2" w:rsidRDefault="00000000" w:rsidP="00085FF2">
      <w:pPr>
        <w:pStyle w:val="ListParagraph"/>
        <w:numPr>
          <w:ilvl w:val="0"/>
          <w:numId w:val="4"/>
        </w:numPr>
        <w:jc w:val="both"/>
      </w:pPr>
      <w:hyperlink r:id="rId19" w:history="1">
        <w:r w:rsidR="00085FF2" w:rsidRPr="00085FF2">
          <w:rPr>
            <w:rStyle w:val="Hyperlink"/>
          </w:rPr>
          <w:t>Bloomberg</w:t>
        </w:r>
      </w:hyperlink>
      <w:r w:rsidR="00085FF2">
        <w:t>.</w:t>
      </w:r>
    </w:p>
    <w:p w14:paraId="59C50A65" w14:textId="37DD116A" w:rsidR="00085FF2" w:rsidRPr="0012423A" w:rsidRDefault="00000000" w:rsidP="00085FF2">
      <w:pPr>
        <w:pStyle w:val="ListParagraph"/>
        <w:numPr>
          <w:ilvl w:val="0"/>
          <w:numId w:val="4"/>
        </w:numPr>
        <w:jc w:val="both"/>
      </w:pPr>
      <w:hyperlink r:id="rId20" w:history="1">
        <w:r w:rsidR="00085FF2" w:rsidRPr="00085FF2">
          <w:rPr>
            <w:rStyle w:val="Hyperlink"/>
          </w:rPr>
          <w:t>Morningstar</w:t>
        </w:r>
      </w:hyperlink>
      <w:r w:rsidR="00085FF2">
        <w:t>.</w:t>
      </w:r>
    </w:p>
    <w:p w14:paraId="7D46AE57" w14:textId="34012D68" w:rsidR="0012423A" w:rsidRDefault="0012423A" w:rsidP="0012423A">
      <w:pPr>
        <w:pStyle w:val="Heading1"/>
      </w:pPr>
      <w:r>
        <w:t>Active Security Selection</w:t>
      </w:r>
    </w:p>
    <w:p w14:paraId="61A9A7C9" w14:textId="6FB4FC09" w:rsidR="0012423A" w:rsidRDefault="00085FF2" w:rsidP="0039684F">
      <w:pPr>
        <w:jc w:val="both"/>
      </w:pPr>
      <w:r>
        <w:t>Someone who selects the securities he is investing in is said to be actively selecting securities. Of course, he first selects his asset allocation (</w:t>
      </w:r>
      <w:proofErr w:type="gramStart"/>
      <w:r>
        <w:t>e.g.</w:t>
      </w:r>
      <w:proofErr w:type="gramEnd"/>
      <w:r>
        <w:t xml:space="preserve"> I will invest in tech and energy sectors only), then he selects specific securities.</w:t>
      </w:r>
    </w:p>
    <w:p w14:paraId="3AEE08F3" w14:textId="52EC1432" w:rsidR="004B7968" w:rsidRDefault="004B7968" w:rsidP="0039684F">
      <w:pPr>
        <w:jc w:val="both"/>
      </w:pPr>
      <w:r>
        <w:lastRenderedPageBreak/>
        <w:t>Now, assume someone decided to invest in the technology sector only, this is his asset allocation. Then he decided to invest in the FAANG (</w:t>
      </w:r>
      <w:proofErr w:type="gramStart"/>
      <w:r>
        <w:t>i.e.</w:t>
      </w:r>
      <w:proofErr w:type="gramEnd"/>
      <w:r>
        <w:t xml:space="preserve"> Facebook, Amazon, Apple, Netflix, and Google) companies only. Let’s compare this portfolio to the market:</w:t>
      </w:r>
    </w:p>
    <w:p w14:paraId="489244AE" w14:textId="012CFD57" w:rsidR="004B7968" w:rsidRDefault="00BC3DA4" w:rsidP="0039684F">
      <w:pPr>
        <w:jc w:val="both"/>
      </w:pPr>
      <w:r w:rsidRPr="00BC3DA4">
        <w:rPr>
          <w:noProof/>
        </w:rPr>
        <w:drawing>
          <wp:inline distT="0" distB="0" distL="0" distR="0" wp14:anchorId="35FF91DA" wp14:editId="416F7C8F">
            <wp:extent cx="5943600" cy="2718435"/>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2718435"/>
                    </a:xfrm>
                    <a:prstGeom prst="rect">
                      <a:avLst/>
                    </a:prstGeom>
                  </pic:spPr>
                </pic:pic>
              </a:graphicData>
            </a:graphic>
          </wp:inline>
        </w:drawing>
      </w:r>
    </w:p>
    <w:p w14:paraId="4228C7F1" w14:textId="59D40848" w:rsidR="00BC3DA4" w:rsidRDefault="00BC3DA4" w:rsidP="0039684F">
      <w:pPr>
        <w:jc w:val="both"/>
      </w:pPr>
      <w:proofErr w:type="gramStart"/>
      <w:r>
        <w:t>It is clear that this</w:t>
      </w:r>
      <w:proofErr w:type="gramEnd"/>
      <w:r>
        <w:t xml:space="preserve"> portfolio outperformed the market by much. However, does this trend will remain the same in the upcoming years? Nobody knows!</w:t>
      </w:r>
    </w:p>
    <w:p w14:paraId="178661BD" w14:textId="12CFE6E9" w:rsidR="00A119E7" w:rsidRPr="0012423A" w:rsidRDefault="00A119E7" w:rsidP="0039684F">
      <w:pPr>
        <w:jc w:val="both"/>
      </w:pPr>
      <w:r>
        <w:t xml:space="preserve">Selecting the securities that you invest in is not an easy task. It requires a huge amount of effort. In fact, you need to take a </w:t>
      </w:r>
      <w:proofErr w:type="gramStart"/>
      <w:r>
        <w:t>bachelor</w:t>
      </w:r>
      <w:proofErr w:type="gramEnd"/>
      <w:r>
        <w:t xml:space="preserve"> degree and many courses to be able to analyze different securities.</w:t>
      </w:r>
    </w:p>
    <w:p w14:paraId="6F3B79EB" w14:textId="34986891" w:rsidR="0012423A" w:rsidRDefault="0012423A" w:rsidP="0012423A">
      <w:pPr>
        <w:pStyle w:val="Heading1"/>
      </w:pPr>
      <w:r>
        <w:t>Rebalancing</w:t>
      </w:r>
    </w:p>
    <w:p w14:paraId="64916424" w14:textId="45A71C91" w:rsidR="0012423A" w:rsidRDefault="005C7E3D" w:rsidP="005C7E3D">
      <w:pPr>
        <w:jc w:val="both"/>
      </w:pPr>
      <w:r>
        <w:t>Assume that from your active asset allocation and security selection, you decided your portfolio will equally constitute only 2 stocks as follows:</w:t>
      </w:r>
    </w:p>
    <w:tbl>
      <w:tblPr>
        <w:tblStyle w:val="GridTable1Light-Accent5"/>
        <w:tblW w:w="0" w:type="auto"/>
        <w:tblLook w:val="04A0" w:firstRow="1" w:lastRow="0" w:firstColumn="1" w:lastColumn="0" w:noHBand="0" w:noVBand="1"/>
      </w:tblPr>
      <w:tblGrid>
        <w:gridCol w:w="715"/>
        <w:gridCol w:w="2340"/>
        <w:gridCol w:w="2160"/>
        <w:gridCol w:w="2371"/>
        <w:gridCol w:w="1764"/>
      </w:tblGrid>
      <w:tr w:rsidR="005C7E3D" w14:paraId="16C52803" w14:textId="5DAEDE94" w:rsidTr="005C7E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Pr>
          <w:p w14:paraId="1E306B22" w14:textId="63A72042" w:rsidR="005C7E3D" w:rsidRDefault="005C7E3D" w:rsidP="005C7E3D">
            <w:pPr>
              <w:jc w:val="center"/>
            </w:pPr>
            <w:bookmarkStart w:id="1" w:name="OLE_LINK1"/>
            <w:r>
              <w:t>Stock</w:t>
            </w:r>
          </w:p>
        </w:tc>
        <w:tc>
          <w:tcPr>
            <w:tcW w:w="2340" w:type="dxa"/>
          </w:tcPr>
          <w:p w14:paraId="428AA73B" w14:textId="64BA7A55" w:rsidR="005C7E3D" w:rsidRDefault="005C7E3D" w:rsidP="005C7E3D">
            <w:pPr>
              <w:jc w:val="center"/>
              <w:cnfStyle w:val="100000000000" w:firstRow="1" w:lastRow="0" w:firstColumn="0" w:lastColumn="0" w:oddVBand="0" w:evenVBand="0" w:oddHBand="0" w:evenHBand="0" w:firstRowFirstColumn="0" w:firstRowLastColumn="0" w:lastRowFirstColumn="0" w:lastRowLastColumn="0"/>
            </w:pPr>
            <w:r>
              <w:t>Portfolio Allocation</w:t>
            </w:r>
          </w:p>
        </w:tc>
        <w:tc>
          <w:tcPr>
            <w:tcW w:w="2160" w:type="dxa"/>
          </w:tcPr>
          <w:p w14:paraId="5C3E5EE5" w14:textId="19A91218" w:rsidR="005C7E3D" w:rsidRDefault="005C7E3D" w:rsidP="005C7E3D">
            <w:pPr>
              <w:jc w:val="center"/>
              <w:cnfStyle w:val="100000000000" w:firstRow="1" w:lastRow="0" w:firstColumn="0" w:lastColumn="0" w:oddVBand="0" w:evenVBand="0" w:oddHBand="0" w:evenHBand="0" w:firstRowFirstColumn="0" w:firstRowLastColumn="0" w:lastRowFirstColumn="0" w:lastRowLastColumn="0"/>
            </w:pPr>
            <w:r>
              <w:t>Share Price</w:t>
            </w:r>
          </w:p>
        </w:tc>
        <w:tc>
          <w:tcPr>
            <w:tcW w:w="2371" w:type="dxa"/>
          </w:tcPr>
          <w:p w14:paraId="5FCB5693" w14:textId="7911B922" w:rsidR="005C7E3D" w:rsidRDefault="005C7E3D" w:rsidP="005C7E3D">
            <w:pPr>
              <w:jc w:val="center"/>
              <w:cnfStyle w:val="100000000000" w:firstRow="1" w:lastRow="0" w:firstColumn="0" w:lastColumn="0" w:oddVBand="0" w:evenVBand="0" w:oddHBand="0" w:evenHBand="0" w:firstRowFirstColumn="0" w:firstRowLastColumn="0" w:lastRowFirstColumn="0" w:lastRowLastColumn="0"/>
            </w:pPr>
            <w:r>
              <w:t>No. of Shares Owned</w:t>
            </w:r>
          </w:p>
        </w:tc>
        <w:tc>
          <w:tcPr>
            <w:tcW w:w="1764" w:type="dxa"/>
          </w:tcPr>
          <w:p w14:paraId="189DB8C6" w14:textId="55A23E18" w:rsidR="005C7E3D" w:rsidRDefault="005C7E3D" w:rsidP="005C7E3D">
            <w:pPr>
              <w:jc w:val="center"/>
              <w:cnfStyle w:val="100000000000" w:firstRow="1" w:lastRow="0" w:firstColumn="0" w:lastColumn="0" w:oddVBand="0" w:evenVBand="0" w:oddHBand="0" w:evenHBand="0" w:firstRowFirstColumn="0" w:firstRowLastColumn="0" w:lastRowFirstColumn="0" w:lastRowLastColumn="0"/>
            </w:pPr>
            <w:r>
              <w:t>Money Invested</w:t>
            </w:r>
          </w:p>
        </w:tc>
      </w:tr>
      <w:tr w:rsidR="005C7E3D" w14:paraId="45ABFD75" w14:textId="75C631B5" w:rsidTr="005C7E3D">
        <w:tc>
          <w:tcPr>
            <w:cnfStyle w:val="001000000000" w:firstRow="0" w:lastRow="0" w:firstColumn="1" w:lastColumn="0" w:oddVBand="0" w:evenVBand="0" w:oddHBand="0" w:evenHBand="0" w:firstRowFirstColumn="0" w:firstRowLastColumn="0" w:lastRowFirstColumn="0" w:lastRowLastColumn="0"/>
            <w:tcW w:w="715" w:type="dxa"/>
          </w:tcPr>
          <w:p w14:paraId="249CB011" w14:textId="34FCA381" w:rsidR="005C7E3D" w:rsidRDefault="005C7E3D" w:rsidP="005C7E3D">
            <w:pPr>
              <w:jc w:val="center"/>
            </w:pPr>
            <w:r>
              <w:t>A</w:t>
            </w:r>
          </w:p>
        </w:tc>
        <w:tc>
          <w:tcPr>
            <w:tcW w:w="2340" w:type="dxa"/>
          </w:tcPr>
          <w:p w14:paraId="2A1B3FC3" w14:textId="4B064997" w:rsidR="005C7E3D" w:rsidRDefault="005C7E3D" w:rsidP="005C7E3D">
            <w:pPr>
              <w:jc w:val="center"/>
              <w:cnfStyle w:val="000000000000" w:firstRow="0" w:lastRow="0" w:firstColumn="0" w:lastColumn="0" w:oddVBand="0" w:evenVBand="0" w:oddHBand="0" w:evenHBand="0" w:firstRowFirstColumn="0" w:firstRowLastColumn="0" w:lastRowFirstColumn="0" w:lastRowLastColumn="0"/>
            </w:pPr>
            <w:r>
              <w:t>50%</w:t>
            </w:r>
          </w:p>
        </w:tc>
        <w:tc>
          <w:tcPr>
            <w:tcW w:w="2160" w:type="dxa"/>
          </w:tcPr>
          <w:p w14:paraId="7269EF88" w14:textId="2B71B364" w:rsidR="005C7E3D" w:rsidRDefault="005C7E3D" w:rsidP="005C7E3D">
            <w:pPr>
              <w:jc w:val="center"/>
              <w:cnfStyle w:val="000000000000" w:firstRow="0" w:lastRow="0" w:firstColumn="0" w:lastColumn="0" w:oddVBand="0" w:evenVBand="0" w:oddHBand="0" w:evenHBand="0" w:firstRowFirstColumn="0" w:firstRowLastColumn="0" w:lastRowFirstColumn="0" w:lastRowLastColumn="0"/>
            </w:pPr>
            <w:r>
              <w:t>$5</w:t>
            </w:r>
            <w:r w:rsidR="00776632">
              <w:t>0</w:t>
            </w:r>
          </w:p>
        </w:tc>
        <w:tc>
          <w:tcPr>
            <w:tcW w:w="2371" w:type="dxa"/>
          </w:tcPr>
          <w:p w14:paraId="6517307C" w14:textId="2BA9429D" w:rsidR="005C7E3D" w:rsidRDefault="005C7E3D" w:rsidP="005C7E3D">
            <w:pPr>
              <w:jc w:val="center"/>
              <w:cnfStyle w:val="000000000000" w:firstRow="0" w:lastRow="0" w:firstColumn="0" w:lastColumn="0" w:oddVBand="0" w:evenVBand="0" w:oddHBand="0" w:evenHBand="0" w:firstRowFirstColumn="0" w:firstRowLastColumn="0" w:lastRowFirstColumn="0" w:lastRowLastColumn="0"/>
            </w:pPr>
            <w:r>
              <w:t>100</w:t>
            </w:r>
          </w:p>
        </w:tc>
        <w:tc>
          <w:tcPr>
            <w:tcW w:w="1764" w:type="dxa"/>
          </w:tcPr>
          <w:p w14:paraId="4F6DEC48" w14:textId="1A4C42D2" w:rsidR="005C7E3D" w:rsidRDefault="005C7E3D" w:rsidP="005C7E3D">
            <w:pPr>
              <w:jc w:val="center"/>
              <w:cnfStyle w:val="000000000000" w:firstRow="0" w:lastRow="0" w:firstColumn="0" w:lastColumn="0" w:oddVBand="0" w:evenVBand="0" w:oddHBand="0" w:evenHBand="0" w:firstRowFirstColumn="0" w:firstRowLastColumn="0" w:lastRowFirstColumn="0" w:lastRowLastColumn="0"/>
            </w:pPr>
            <w:r>
              <w:t>$5000</w:t>
            </w:r>
          </w:p>
        </w:tc>
      </w:tr>
      <w:tr w:rsidR="005C7E3D" w14:paraId="07B30CE1" w14:textId="470E65FD" w:rsidTr="005C7E3D">
        <w:tc>
          <w:tcPr>
            <w:cnfStyle w:val="001000000000" w:firstRow="0" w:lastRow="0" w:firstColumn="1" w:lastColumn="0" w:oddVBand="0" w:evenVBand="0" w:oddHBand="0" w:evenHBand="0" w:firstRowFirstColumn="0" w:firstRowLastColumn="0" w:lastRowFirstColumn="0" w:lastRowLastColumn="0"/>
            <w:tcW w:w="715" w:type="dxa"/>
          </w:tcPr>
          <w:p w14:paraId="7227475E" w14:textId="5B19604E" w:rsidR="005C7E3D" w:rsidRDefault="005C7E3D" w:rsidP="005C7E3D">
            <w:pPr>
              <w:jc w:val="center"/>
            </w:pPr>
            <w:r>
              <w:t>B</w:t>
            </w:r>
          </w:p>
        </w:tc>
        <w:tc>
          <w:tcPr>
            <w:tcW w:w="2340" w:type="dxa"/>
          </w:tcPr>
          <w:p w14:paraId="67E9E77E" w14:textId="4E30E5CC" w:rsidR="005C7E3D" w:rsidRDefault="005C7E3D" w:rsidP="005C7E3D">
            <w:pPr>
              <w:jc w:val="center"/>
              <w:cnfStyle w:val="000000000000" w:firstRow="0" w:lastRow="0" w:firstColumn="0" w:lastColumn="0" w:oddVBand="0" w:evenVBand="0" w:oddHBand="0" w:evenHBand="0" w:firstRowFirstColumn="0" w:firstRowLastColumn="0" w:lastRowFirstColumn="0" w:lastRowLastColumn="0"/>
            </w:pPr>
            <w:r>
              <w:t>50%</w:t>
            </w:r>
          </w:p>
        </w:tc>
        <w:tc>
          <w:tcPr>
            <w:tcW w:w="2160" w:type="dxa"/>
          </w:tcPr>
          <w:p w14:paraId="1362C0D7" w14:textId="43FBBDB3" w:rsidR="005C7E3D" w:rsidRDefault="005C7E3D" w:rsidP="005C7E3D">
            <w:pPr>
              <w:jc w:val="center"/>
              <w:cnfStyle w:val="000000000000" w:firstRow="0" w:lastRow="0" w:firstColumn="0" w:lastColumn="0" w:oddVBand="0" w:evenVBand="0" w:oddHBand="0" w:evenHBand="0" w:firstRowFirstColumn="0" w:firstRowLastColumn="0" w:lastRowFirstColumn="0" w:lastRowLastColumn="0"/>
            </w:pPr>
            <w:r>
              <w:t>$5</w:t>
            </w:r>
          </w:p>
        </w:tc>
        <w:tc>
          <w:tcPr>
            <w:tcW w:w="2371" w:type="dxa"/>
          </w:tcPr>
          <w:p w14:paraId="4E8CB971" w14:textId="176D388F" w:rsidR="005C7E3D" w:rsidRDefault="005C7E3D" w:rsidP="005C7E3D">
            <w:pPr>
              <w:jc w:val="center"/>
              <w:cnfStyle w:val="000000000000" w:firstRow="0" w:lastRow="0" w:firstColumn="0" w:lastColumn="0" w:oddVBand="0" w:evenVBand="0" w:oddHBand="0" w:evenHBand="0" w:firstRowFirstColumn="0" w:firstRowLastColumn="0" w:lastRowFirstColumn="0" w:lastRowLastColumn="0"/>
            </w:pPr>
            <w:r>
              <w:t>100</w:t>
            </w:r>
            <w:r w:rsidR="00776632">
              <w:t>0</w:t>
            </w:r>
          </w:p>
        </w:tc>
        <w:tc>
          <w:tcPr>
            <w:tcW w:w="1764" w:type="dxa"/>
          </w:tcPr>
          <w:p w14:paraId="0E6B80F7" w14:textId="478715D5" w:rsidR="005C7E3D" w:rsidRDefault="005C7E3D" w:rsidP="005C7E3D">
            <w:pPr>
              <w:jc w:val="center"/>
              <w:cnfStyle w:val="000000000000" w:firstRow="0" w:lastRow="0" w:firstColumn="0" w:lastColumn="0" w:oddVBand="0" w:evenVBand="0" w:oddHBand="0" w:evenHBand="0" w:firstRowFirstColumn="0" w:firstRowLastColumn="0" w:lastRowFirstColumn="0" w:lastRowLastColumn="0"/>
            </w:pPr>
            <w:r>
              <w:t>$5000</w:t>
            </w:r>
          </w:p>
        </w:tc>
      </w:tr>
    </w:tbl>
    <w:bookmarkEnd w:id="1"/>
    <w:p w14:paraId="695F2E7F" w14:textId="2F20F405" w:rsidR="005C7E3D" w:rsidRDefault="005C7E3D" w:rsidP="005C7E3D">
      <w:r>
        <w:t>Now, assume stock A did well that the share price increased to $10, while stock B did bad that its share price dropped to $25. Here is your portfolio now:</w:t>
      </w:r>
    </w:p>
    <w:tbl>
      <w:tblPr>
        <w:tblStyle w:val="GridTable1Light-Accent5"/>
        <w:tblW w:w="0" w:type="auto"/>
        <w:tblLook w:val="04A0" w:firstRow="1" w:lastRow="0" w:firstColumn="1" w:lastColumn="0" w:noHBand="0" w:noVBand="1"/>
      </w:tblPr>
      <w:tblGrid>
        <w:gridCol w:w="715"/>
        <w:gridCol w:w="2340"/>
        <w:gridCol w:w="2160"/>
        <w:gridCol w:w="2371"/>
        <w:gridCol w:w="1764"/>
      </w:tblGrid>
      <w:tr w:rsidR="005C7E3D" w14:paraId="4B315199" w14:textId="77777777" w:rsidTr="005C7E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BDD6EE" w:themeColor="accent5" w:themeTint="66"/>
              <w:left w:val="single" w:sz="4" w:space="0" w:color="BDD6EE" w:themeColor="accent5" w:themeTint="66"/>
              <w:right w:val="single" w:sz="4" w:space="0" w:color="BDD6EE" w:themeColor="accent5" w:themeTint="66"/>
            </w:tcBorders>
            <w:hideMark/>
          </w:tcPr>
          <w:p w14:paraId="75A4CC46" w14:textId="77777777" w:rsidR="005C7E3D" w:rsidRDefault="005C7E3D">
            <w:pPr>
              <w:jc w:val="center"/>
            </w:pPr>
            <w:bookmarkStart w:id="2" w:name="OLE_LINK2"/>
            <w:r>
              <w:t>Stock</w:t>
            </w:r>
          </w:p>
        </w:tc>
        <w:tc>
          <w:tcPr>
            <w:tcW w:w="2340" w:type="dxa"/>
            <w:tcBorders>
              <w:top w:val="single" w:sz="4" w:space="0" w:color="BDD6EE" w:themeColor="accent5" w:themeTint="66"/>
              <w:left w:val="single" w:sz="4" w:space="0" w:color="BDD6EE" w:themeColor="accent5" w:themeTint="66"/>
              <w:right w:val="single" w:sz="4" w:space="0" w:color="BDD6EE" w:themeColor="accent5" w:themeTint="66"/>
            </w:tcBorders>
            <w:hideMark/>
          </w:tcPr>
          <w:p w14:paraId="4E3D87A6" w14:textId="2EC68CA8" w:rsidR="005C7E3D" w:rsidRDefault="005C7E3D">
            <w:pPr>
              <w:jc w:val="center"/>
              <w:cnfStyle w:val="100000000000" w:firstRow="1" w:lastRow="0" w:firstColumn="0" w:lastColumn="0" w:oddVBand="0" w:evenVBand="0" w:oddHBand="0" w:evenHBand="0" w:firstRowFirstColumn="0" w:firstRowLastColumn="0" w:lastRowFirstColumn="0" w:lastRowLastColumn="0"/>
            </w:pPr>
            <w:r>
              <w:t>Portfolio Allocation</w:t>
            </w:r>
          </w:p>
        </w:tc>
        <w:tc>
          <w:tcPr>
            <w:tcW w:w="2160" w:type="dxa"/>
            <w:tcBorders>
              <w:top w:val="single" w:sz="4" w:space="0" w:color="BDD6EE" w:themeColor="accent5" w:themeTint="66"/>
              <w:left w:val="single" w:sz="4" w:space="0" w:color="BDD6EE" w:themeColor="accent5" w:themeTint="66"/>
              <w:right w:val="single" w:sz="4" w:space="0" w:color="BDD6EE" w:themeColor="accent5" w:themeTint="66"/>
            </w:tcBorders>
            <w:hideMark/>
          </w:tcPr>
          <w:p w14:paraId="2989CCA3" w14:textId="77777777" w:rsidR="005C7E3D" w:rsidRDefault="005C7E3D">
            <w:pPr>
              <w:jc w:val="center"/>
              <w:cnfStyle w:val="100000000000" w:firstRow="1" w:lastRow="0" w:firstColumn="0" w:lastColumn="0" w:oddVBand="0" w:evenVBand="0" w:oddHBand="0" w:evenHBand="0" w:firstRowFirstColumn="0" w:firstRowLastColumn="0" w:lastRowFirstColumn="0" w:lastRowLastColumn="0"/>
            </w:pPr>
            <w:r>
              <w:t>Share Price</w:t>
            </w:r>
          </w:p>
        </w:tc>
        <w:tc>
          <w:tcPr>
            <w:tcW w:w="2371" w:type="dxa"/>
            <w:tcBorders>
              <w:top w:val="single" w:sz="4" w:space="0" w:color="BDD6EE" w:themeColor="accent5" w:themeTint="66"/>
              <w:left w:val="single" w:sz="4" w:space="0" w:color="BDD6EE" w:themeColor="accent5" w:themeTint="66"/>
              <w:right w:val="single" w:sz="4" w:space="0" w:color="BDD6EE" w:themeColor="accent5" w:themeTint="66"/>
            </w:tcBorders>
            <w:hideMark/>
          </w:tcPr>
          <w:p w14:paraId="267C612F" w14:textId="77777777" w:rsidR="005C7E3D" w:rsidRDefault="005C7E3D">
            <w:pPr>
              <w:jc w:val="center"/>
              <w:cnfStyle w:val="100000000000" w:firstRow="1" w:lastRow="0" w:firstColumn="0" w:lastColumn="0" w:oddVBand="0" w:evenVBand="0" w:oddHBand="0" w:evenHBand="0" w:firstRowFirstColumn="0" w:firstRowLastColumn="0" w:lastRowFirstColumn="0" w:lastRowLastColumn="0"/>
            </w:pPr>
            <w:r>
              <w:t>No. of Shares Owned</w:t>
            </w:r>
          </w:p>
        </w:tc>
        <w:tc>
          <w:tcPr>
            <w:tcW w:w="1764" w:type="dxa"/>
            <w:tcBorders>
              <w:top w:val="single" w:sz="4" w:space="0" w:color="BDD6EE" w:themeColor="accent5" w:themeTint="66"/>
              <w:left w:val="single" w:sz="4" w:space="0" w:color="BDD6EE" w:themeColor="accent5" w:themeTint="66"/>
              <w:right w:val="single" w:sz="4" w:space="0" w:color="BDD6EE" w:themeColor="accent5" w:themeTint="66"/>
            </w:tcBorders>
            <w:hideMark/>
          </w:tcPr>
          <w:p w14:paraId="0CA904FF" w14:textId="77777777" w:rsidR="005C7E3D" w:rsidRDefault="005C7E3D">
            <w:pPr>
              <w:jc w:val="center"/>
              <w:cnfStyle w:val="100000000000" w:firstRow="1" w:lastRow="0" w:firstColumn="0" w:lastColumn="0" w:oddVBand="0" w:evenVBand="0" w:oddHBand="0" w:evenHBand="0" w:firstRowFirstColumn="0" w:firstRowLastColumn="0" w:lastRowFirstColumn="0" w:lastRowLastColumn="0"/>
            </w:pPr>
            <w:r>
              <w:t>Money Invested</w:t>
            </w:r>
          </w:p>
        </w:tc>
      </w:tr>
      <w:tr w:rsidR="005C7E3D" w14:paraId="56A46F48" w14:textId="77777777" w:rsidTr="005C7E3D">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3E1445CE" w14:textId="77777777" w:rsidR="005C7E3D" w:rsidRDefault="005C7E3D">
            <w:pPr>
              <w:jc w:val="center"/>
            </w:pPr>
            <w:r>
              <w:t>A</w:t>
            </w:r>
          </w:p>
        </w:tc>
        <w:tc>
          <w:tcPr>
            <w:tcW w:w="2340"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2AC6C6E7" w14:textId="59EED4D3" w:rsidR="005C7E3D" w:rsidRDefault="00776632">
            <w:pPr>
              <w:jc w:val="center"/>
              <w:cnfStyle w:val="000000000000" w:firstRow="0" w:lastRow="0" w:firstColumn="0" w:lastColumn="0" w:oddVBand="0" w:evenVBand="0" w:oddHBand="0" w:evenHBand="0" w:firstRowFirstColumn="0" w:firstRowLastColumn="0" w:lastRowFirstColumn="0" w:lastRowLastColumn="0"/>
            </w:pPr>
            <w:r>
              <w:t>2</w:t>
            </w:r>
            <w:r w:rsidR="005C7E3D">
              <w:t>0%</w:t>
            </w:r>
          </w:p>
        </w:tc>
        <w:tc>
          <w:tcPr>
            <w:tcW w:w="2160"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26C9684E" w14:textId="0AE86314" w:rsidR="005C7E3D" w:rsidRDefault="005C7E3D">
            <w:pPr>
              <w:jc w:val="center"/>
              <w:cnfStyle w:val="000000000000" w:firstRow="0" w:lastRow="0" w:firstColumn="0" w:lastColumn="0" w:oddVBand="0" w:evenVBand="0" w:oddHBand="0" w:evenHBand="0" w:firstRowFirstColumn="0" w:firstRowLastColumn="0" w:lastRowFirstColumn="0" w:lastRowLastColumn="0"/>
            </w:pPr>
            <w:r>
              <w:t>$</w:t>
            </w:r>
            <w:r w:rsidR="00776632">
              <w:t>25</w:t>
            </w:r>
          </w:p>
        </w:tc>
        <w:tc>
          <w:tcPr>
            <w:tcW w:w="2371"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17B350C1" w14:textId="7C5471C8" w:rsidR="005C7E3D" w:rsidRDefault="005C7E3D">
            <w:pPr>
              <w:jc w:val="center"/>
              <w:cnfStyle w:val="000000000000" w:firstRow="0" w:lastRow="0" w:firstColumn="0" w:lastColumn="0" w:oddVBand="0" w:evenVBand="0" w:oddHBand="0" w:evenHBand="0" w:firstRowFirstColumn="0" w:firstRowLastColumn="0" w:lastRowFirstColumn="0" w:lastRowLastColumn="0"/>
            </w:pPr>
            <w:r>
              <w:t>100</w:t>
            </w:r>
          </w:p>
        </w:tc>
        <w:tc>
          <w:tcPr>
            <w:tcW w:w="1764"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552DBC7A" w14:textId="13CA96A3" w:rsidR="005C7E3D" w:rsidRDefault="005C7E3D">
            <w:pPr>
              <w:jc w:val="center"/>
              <w:cnfStyle w:val="000000000000" w:firstRow="0" w:lastRow="0" w:firstColumn="0" w:lastColumn="0" w:oddVBand="0" w:evenVBand="0" w:oddHBand="0" w:evenHBand="0" w:firstRowFirstColumn="0" w:firstRowLastColumn="0" w:lastRowFirstColumn="0" w:lastRowLastColumn="0"/>
            </w:pPr>
            <w:r>
              <w:t>$</w:t>
            </w:r>
            <w:r w:rsidR="00776632">
              <w:t>2,5</w:t>
            </w:r>
            <w:r>
              <w:t>00</w:t>
            </w:r>
          </w:p>
        </w:tc>
      </w:tr>
      <w:tr w:rsidR="005C7E3D" w14:paraId="58E75C91" w14:textId="77777777" w:rsidTr="005C7E3D">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7D4E0AA0" w14:textId="77777777" w:rsidR="005C7E3D" w:rsidRDefault="005C7E3D">
            <w:pPr>
              <w:jc w:val="center"/>
            </w:pPr>
            <w:r>
              <w:t>B</w:t>
            </w:r>
          </w:p>
        </w:tc>
        <w:tc>
          <w:tcPr>
            <w:tcW w:w="2340"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35FA846D" w14:textId="306A5093" w:rsidR="005C7E3D" w:rsidRDefault="00776632">
            <w:pPr>
              <w:jc w:val="center"/>
              <w:cnfStyle w:val="000000000000" w:firstRow="0" w:lastRow="0" w:firstColumn="0" w:lastColumn="0" w:oddVBand="0" w:evenVBand="0" w:oddHBand="0" w:evenHBand="0" w:firstRowFirstColumn="0" w:firstRowLastColumn="0" w:lastRowFirstColumn="0" w:lastRowLastColumn="0"/>
            </w:pPr>
            <w:r>
              <w:t>8</w:t>
            </w:r>
            <w:r w:rsidR="005C7E3D">
              <w:t>0%</w:t>
            </w:r>
          </w:p>
        </w:tc>
        <w:tc>
          <w:tcPr>
            <w:tcW w:w="2160"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66B71D71" w14:textId="3C2F441A" w:rsidR="005C7E3D" w:rsidRDefault="005C7E3D">
            <w:pPr>
              <w:jc w:val="center"/>
              <w:cnfStyle w:val="000000000000" w:firstRow="0" w:lastRow="0" w:firstColumn="0" w:lastColumn="0" w:oddVBand="0" w:evenVBand="0" w:oddHBand="0" w:evenHBand="0" w:firstRowFirstColumn="0" w:firstRowLastColumn="0" w:lastRowFirstColumn="0" w:lastRowLastColumn="0"/>
            </w:pPr>
            <w:r>
              <w:t>$</w:t>
            </w:r>
            <w:r w:rsidR="00776632">
              <w:t>10</w:t>
            </w:r>
          </w:p>
        </w:tc>
        <w:tc>
          <w:tcPr>
            <w:tcW w:w="2371"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19F15BB5" w14:textId="4E9E0BC7" w:rsidR="005C7E3D" w:rsidRDefault="005C7E3D">
            <w:pPr>
              <w:jc w:val="center"/>
              <w:cnfStyle w:val="000000000000" w:firstRow="0" w:lastRow="0" w:firstColumn="0" w:lastColumn="0" w:oddVBand="0" w:evenVBand="0" w:oddHBand="0" w:evenHBand="0" w:firstRowFirstColumn="0" w:firstRowLastColumn="0" w:lastRowFirstColumn="0" w:lastRowLastColumn="0"/>
            </w:pPr>
            <w:r>
              <w:t>100</w:t>
            </w:r>
            <w:r w:rsidR="00776632">
              <w:t>0</w:t>
            </w:r>
          </w:p>
        </w:tc>
        <w:tc>
          <w:tcPr>
            <w:tcW w:w="1764"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5B57F88F" w14:textId="5718F614" w:rsidR="005C7E3D" w:rsidRDefault="005C7E3D">
            <w:pPr>
              <w:jc w:val="center"/>
              <w:cnfStyle w:val="000000000000" w:firstRow="0" w:lastRow="0" w:firstColumn="0" w:lastColumn="0" w:oddVBand="0" w:evenVBand="0" w:oddHBand="0" w:evenHBand="0" w:firstRowFirstColumn="0" w:firstRowLastColumn="0" w:lastRowFirstColumn="0" w:lastRowLastColumn="0"/>
            </w:pPr>
            <w:r>
              <w:t>$</w:t>
            </w:r>
            <w:r w:rsidR="00776632">
              <w:t>10,0</w:t>
            </w:r>
            <w:r>
              <w:t>00</w:t>
            </w:r>
          </w:p>
        </w:tc>
      </w:tr>
    </w:tbl>
    <w:bookmarkEnd w:id="2"/>
    <w:p w14:paraId="7B1FFE65" w14:textId="4816B786" w:rsidR="005C7E3D" w:rsidRDefault="005C7E3D" w:rsidP="005C7E3D">
      <w:pPr>
        <w:jc w:val="both"/>
      </w:pPr>
      <w:r>
        <w:t xml:space="preserve">See? Due to the fluctuation in stock A and B performance, their portfolio allocation changed from what you decided at the beginning (from 50/50 to </w:t>
      </w:r>
      <w:r w:rsidR="00776632">
        <w:t>2</w:t>
      </w:r>
      <w:r>
        <w:t>0/</w:t>
      </w:r>
      <w:r w:rsidR="00776632">
        <w:t>8</w:t>
      </w:r>
      <w:r>
        <w:t xml:space="preserve">0). This is where rebalancing comes in. If you decided that you would like to actively rebalance your portfolio, then you would say “So, I currently have $12,500 invested in my portfolio. To equally divide them between stock A and B, each stock should constitute </w:t>
      </w:r>
      <w:r w:rsidR="008415AB">
        <w:t xml:space="preserve">$12,500 x 0.5 = $6,250 of my portfolio. Accordingly, I will sell $10,000 - $6,250 = $3,750 of stock </w:t>
      </w:r>
      <w:r w:rsidR="00776632">
        <w:t>B</w:t>
      </w:r>
      <w:r w:rsidR="008415AB">
        <w:t xml:space="preserve"> and use them to buy stock </w:t>
      </w:r>
      <w:r w:rsidR="00776632">
        <w:t>A</w:t>
      </w:r>
      <w:r w:rsidR="008415AB">
        <w:t>”.</w:t>
      </w:r>
      <w:r w:rsidR="00562435">
        <w:t xml:space="preserve"> So, after rebalancing:</w:t>
      </w:r>
    </w:p>
    <w:p w14:paraId="34BC94CF" w14:textId="77777777" w:rsidR="00562435" w:rsidRDefault="00562435" w:rsidP="005C7E3D">
      <w:pPr>
        <w:jc w:val="both"/>
      </w:pPr>
    </w:p>
    <w:tbl>
      <w:tblPr>
        <w:tblStyle w:val="GridTable1Light-Accent5"/>
        <w:tblW w:w="0" w:type="auto"/>
        <w:tblLook w:val="04A0" w:firstRow="1" w:lastRow="0" w:firstColumn="1" w:lastColumn="0" w:noHBand="0" w:noVBand="1"/>
      </w:tblPr>
      <w:tblGrid>
        <w:gridCol w:w="715"/>
        <w:gridCol w:w="2340"/>
        <w:gridCol w:w="2160"/>
        <w:gridCol w:w="2371"/>
        <w:gridCol w:w="1764"/>
      </w:tblGrid>
      <w:tr w:rsidR="00562435" w14:paraId="6127BE5D" w14:textId="77777777" w:rsidTr="005624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BDD6EE" w:themeColor="accent5" w:themeTint="66"/>
              <w:left w:val="single" w:sz="4" w:space="0" w:color="BDD6EE" w:themeColor="accent5" w:themeTint="66"/>
              <w:right w:val="single" w:sz="4" w:space="0" w:color="BDD6EE" w:themeColor="accent5" w:themeTint="66"/>
            </w:tcBorders>
            <w:hideMark/>
          </w:tcPr>
          <w:p w14:paraId="4BE4F9B2" w14:textId="77777777" w:rsidR="00562435" w:rsidRDefault="00562435">
            <w:pPr>
              <w:jc w:val="center"/>
            </w:pPr>
            <w:bookmarkStart w:id="3" w:name="OLE_LINK3"/>
            <w:r>
              <w:lastRenderedPageBreak/>
              <w:t>Stock</w:t>
            </w:r>
          </w:p>
        </w:tc>
        <w:tc>
          <w:tcPr>
            <w:tcW w:w="2340" w:type="dxa"/>
            <w:tcBorders>
              <w:top w:val="single" w:sz="4" w:space="0" w:color="BDD6EE" w:themeColor="accent5" w:themeTint="66"/>
              <w:left w:val="single" w:sz="4" w:space="0" w:color="BDD6EE" w:themeColor="accent5" w:themeTint="66"/>
              <w:right w:val="single" w:sz="4" w:space="0" w:color="BDD6EE" w:themeColor="accent5" w:themeTint="66"/>
            </w:tcBorders>
            <w:hideMark/>
          </w:tcPr>
          <w:p w14:paraId="2A4BF270" w14:textId="77777777" w:rsidR="00562435" w:rsidRDefault="00562435">
            <w:pPr>
              <w:jc w:val="center"/>
              <w:cnfStyle w:val="100000000000" w:firstRow="1" w:lastRow="0" w:firstColumn="0" w:lastColumn="0" w:oddVBand="0" w:evenVBand="0" w:oddHBand="0" w:evenHBand="0" w:firstRowFirstColumn="0" w:firstRowLastColumn="0" w:lastRowFirstColumn="0" w:lastRowLastColumn="0"/>
            </w:pPr>
            <w:r>
              <w:t>Portfolio Allocation</w:t>
            </w:r>
          </w:p>
        </w:tc>
        <w:tc>
          <w:tcPr>
            <w:tcW w:w="2160" w:type="dxa"/>
            <w:tcBorders>
              <w:top w:val="single" w:sz="4" w:space="0" w:color="BDD6EE" w:themeColor="accent5" w:themeTint="66"/>
              <w:left w:val="single" w:sz="4" w:space="0" w:color="BDD6EE" w:themeColor="accent5" w:themeTint="66"/>
              <w:right w:val="single" w:sz="4" w:space="0" w:color="BDD6EE" w:themeColor="accent5" w:themeTint="66"/>
            </w:tcBorders>
            <w:hideMark/>
          </w:tcPr>
          <w:p w14:paraId="3EA0852F" w14:textId="77777777" w:rsidR="00562435" w:rsidRDefault="00562435">
            <w:pPr>
              <w:jc w:val="center"/>
              <w:cnfStyle w:val="100000000000" w:firstRow="1" w:lastRow="0" w:firstColumn="0" w:lastColumn="0" w:oddVBand="0" w:evenVBand="0" w:oddHBand="0" w:evenHBand="0" w:firstRowFirstColumn="0" w:firstRowLastColumn="0" w:lastRowFirstColumn="0" w:lastRowLastColumn="0"/>
            </w:pPr>
            <w:r>
              <w:t>Share Price</w:t>
            </w:r>
          </w:p>
        </w:tc>
        <w:tc>
          <w:tcPr>
            <w:tcW w:w="2371" w:type="dxa"/>
            <w:tcBorders>
              <w:top w:val="single" w:sz="4" w:space="0" w:color="BDD6EE" w:themeColor="accent5" w:themeTint="66"/>
              <w:left w:val="single" w:sz="4" w:space="0" w:color="BDD6EE" w:themeColor="accent5" w:themeTint="66"/>
              <w:right w:val="single" w:sz="4" w:space="0" w:color="BDD6EE" w:themeColor="accent5" w:themeTint="66"/>
            </w:tcBorders>
            <w:hideMark/>
          </w:tcPr>
          <w:p w14:paraId="2F223564" w14:textId="77777777" w:rsidR="00562435" w:rsidRDefault="00562435">
            <w:pPr>
              <w:jc w:val="center"/>
              <w:cnfStyle w:val="100000000000" w:firstRow="1" w:lastRow="0" w:firstColumn="0" w:lastColumn="0" w:oddVBand="0" w:evenVBand="0" w:oddHBand="0" w:evenHBand="0" w:firstRowFirstColumn="0" w:firstRowLastColumn="0" w:lastRowFirstColumn="0" w:lastRowLastColumn="0"/>
            </w:pPr>
            <w:r>
              <w:t>No. of Shares Owned</w:t>
            </w:r>
          </w:p>
        </w:tc>
        <w:tc>
          <w:tcPr>
            <w:tcW w:w="1764" w:type="dxa"/>
            <w:tcBorders>
              <w:top w:val="single" w:sz="4" w:space="0" w:color="BDD6EE" w:themeColor="accent5" w:themeTint="66"/>
              <w:left w:val="single" w:sz="4" w:space="0" w:color="BDD6EE" w:themeColor="accent5" w:themeTint="66"/>
              <w:right w:val="single" w:sz="4" w:space="0" w:color="BDD6EE" w:themeColor="accent5" w:themeTint="66"/>
            </w:tcBorders>
            <w:hideMark/>
          </w:tcPr>
          <w:p w14:paraId="4E670496" w14:textId="77777777" w:rsidR="00562435" w:rsidRDefault="00562435">
            <w:pPr>
              <w:jc w:val="center"/>
              <w:cnfStyle w:val="100000000000" w:firstRow="1" w:lastRow="0" w:firstColumn="0" w:lastColumn="0" w:oddVBand="0" w:evenVBand="0" w:oddHBand="0" w:evenHBand="0" w:firstRowFirstColumn="0" w:firstRowLastColumn="0" w:lastRowFirstColumn="0" w:lastRowLastColumn="0"/>
            </w:pPr>
            <w:r>
              <w:t>Money Invested</w:t>
            </w:r>
          </w:p>
        </w:tc>
      </w:tr>
      <w:tr w:rsidR="00562435" w14:paraId="59DBD401" w14:textId="77777777" w:rsidTr="00562435">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4CBEE7C0" w14:textId="77777777" w:rsidR="00562435" w:rsidRDefault="00562435">
            <w:pPr>
              <w:jc w:val="center"/>
            </w:pPr>
            <w:r>
              <w:t>A</w:t>
            </w:r>
          </w:p>
        </w:tc>
        <w:tc>
          <w:tcPr>
            <w:tcW w:w="2340"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52CD9527" w14:textId="17A3F6C5" w:rsidR="00562435" w:rsidRDefault="00126831">
            <w:pPr>
              <w:jc w:val="center"/>
              <w:cnfStyle w:val="000000000000" w:firstRow="0" w:lastRow="0" w:firstColumn="0" w:lastColumn="0" w:oddVBand="0" w:evenVBand="0" w:oddHBand="0" w:evenHBand="0" w:firstRowFirstColumn="0" w:firstRowLastColumn="0" w:lastRowFirstColumn="0" w:lastRowLastColumn="0"/>
            </w:pPr>
            <w:r>
              <w:t>5</w:t>
            </w:r>
            <w:r w:rsidR="00562435">
              <w:t>0%</w:t>
            </w:r>
          </w:p>
        </w:tc>
        <w:tc>
          <w:tcPr>
            <w:tcW w:w="2160"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33DFE24B" w14:textId="79BDEC47" w:rsidR="00562435" w:rsidRDefault="00562435">
            <w:pPr>
              <w:jc w:val="center"/>
              <w:cnfStyle w:val="000000000000" w:firstRow="0" w:lastRow="0" w:firstColumn="0" w:lastColumn="0" w:oddVBand="0" w:evenVBand="0" w:oddHBand="0" w:evenHBand="0" w:firstRowFirstColumn="0" w:firstRowLastColumn="0" w:lastRowFirstColumn="0" w:lastRowLastColumn="0"/>
            </w:pPr>
            <w:r>
              <w:t>$</w:t>
            </w:r>
            <w:r w:rsidR="00776632">
              <w:t>25</w:t>
            </w:r>
          </w:p>
        </w:tc>
        <w:tc>
          <w:tcPr>
            <w:tcW w:w="2371"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2EF92B04" w14:textId="1C14A865" w:rsidR="00562435" w:rsidRDefault="00776632">
            <w:pPr>
              <w:jc w:val="center"/>
              <w:cnfStyle w:val="000000000000" w:firstRow="0" w:lastRow="0" w:firstColumn="0" w:lastColumn="0" w:oddVBand="0" w:evenVBand="0" w:oddHBand="0" w:evenHBand="0" w:firstRowFirstColumn="0" w:firstRowLastColumn="0" w:lastRowFirstColumn="0" w:lastRowLastColumn="0"/>
            </w:pPr>
            <w:r>
              <w:t>250</w:t>
            </w:r>
          </w:p>
        </w:tc>
        <w:tc>
          <w:tcPr>
            <w:tcW w:w="1764"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27F41524" w14:textId="2F514776" w:rsidR="00562435" w:rsidRDefault="00562435">
            <w:pPr>
              <w:jc w:val="center"/>
              <w:cnfStyle w:val="000000000000" w:firstRow="0" w:lastRow="0" w:firstColumn="0" w:lastColumn="0" w:oddVBand="0" w:evenVBand="0" w:oddHBand="0" w:evenHBand="0" w:firstRowFirstColumn="0" w:firstRowLastColumn="0" w:lastRowFirstColumn="0" w:lastRowLastColumn="0"/>
            </w:pPr>
            <w:r>
              <w:t>$</w:t>
            </w:r>
            <w:r w:rsidR="00126831">
              <w:t>6</w:t>
            </w:r>
            <w:r>
              <w:t>,</w:t>
            </w:r>
            <w:r w:rsidR="00126831">
              <w:t>25</w:t>
            </w:r>
            <w:r>
              <w:t>0</w:t>
            </w:r>
          </w:p>
        </w:tc>
      </w:tr>
      <w:tr w:rsidR="00562435" w14:paraId="3F6E7DA3" w14:textId="77777777" w:rsidTr="00562435">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6161009B" w14:textId="77777777" w:rsidR="00562435" w:rsidRDefault="00562435">
            <w:pPr>
              <w:jc w:val="center"/>
            </w:pPr>
            <w:r>
              <w:t>B</w:t>
            </w:r>
          </w:p>
        </w:tc>
        <w:tc>
          <w:tcPr>
            <w:tcW w:w="2340"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616116C5" w14:textId="654F05FE" w:rsidR="00562435" w:rsidRDefault="00126831">
            <w:pPr>
              <w:jc w:val="center"/>
              <w:cnfStyle w:val="000000000000" w:firstRow="0" w:lastRow="0" w:firstColumn="0" w:lastColumn="0" w:oddVBand="0" w:evenVBand="0" w:oddHBand="0" w:evenHBand="0" w:firstRowFirstColumn="0" w:firstRowLastColumn="0" w:lastRowFirstColumn="0" w:lastRowLastColumn="0"/>
            </w:pPr>
            <w:r>
              <w:t>5</w:t>
            </w:r>
            <w:r w:rsidR="00562435">
              <w:t>0%</w:t>
            </w:r>
          </w:p>
        </w:tc>
        <w:tc>
          <w:tcPr>
            <w:tcW w:w="2160"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64B362F3" w14:textId="609962D2" w:rsidR="00562435" w:rsidRDefault="00562435">
            <w:pPr>
              <w:jc w:val="center"/>
              <w:cnfStyle w:val="000000000000" w:firstRow="0" w:lastRow="0" w:firstColumn="0" w:lastColumn="0" w:oddVBand="0" w:evenVBand="0" w:oddHBand="0" w:evenHBand="0" w:firstRowFirstColumn="0" w:firstRowLastColumn="0" w:lastRowFirstColumn="0" w:lastRowLastColumn="0"/>
            </w:pPr>
            <w:r>
              <w:t>$</w:t>
            </w:r>
            <w:r w:rsidR="00776632">
              <w:t>10</w:t>
            </w:r>
          </w:p>
        </w:tc>
        <w:tc>
          <w:tcPr>
            <w:tcW w:w="2371"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50E7E6E2" w14:textId="5FA05EEB" w:rsidR="00562435" w:rsidRDefault="00776632">
            <w:pPr>
              <w:jc w:val="center"/>
              <w:cnfStyle w:val="000000000000" w:firstRow="0" w:lastRow="0" w:firstColumn="0" w:lastColumn="0" w:oddVBand="0" w:evenVBand="0" w:oddHBand="0" w:evenHBand="0" w:firstRowFirstColumn="0" w:firstRowLastColumn="0" w:lastRowFirstColumn="0" w:lastRowLastColumn="0"/>
            </w:pPr>
            <w:r>
              <w:t>625</w:t>
            </w:r>
          </w:p>
        </w:tc>
        <w:tc>
          <w:tcPr>
            <w:tcW w:w="1764"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6B914770" w14:textId="3A86AD86" w:rsidR="00562435" w:rsidRDefault="00562435">
            <w:pPr>
              <w:jc w:val="center"/>
              <w:cnfStyle w:val="000000000000" w:firstRow="0" w:lastRow="0" w:firstColumn="0" w:lastColumn="0" w:oddVBand="0" w:evenVBand="0" w:oddHBand="0" w:evenHBand="0" w:firstRowFirstColumn="0" w:firstRowLastColumn="0" w:lastRowFirstColumn="0" w:lastRowLastColumn="0"/>
            </w:pPr>
            <w:r>
              <w:t>$</w:t>
            </w:r>
            <w:r w:rsidR="00126831">
              <w:t>6,25</w:t>
            </w:r>
            <w:r>
              <w:t>0</w:t>
            </w:r>
          </w:p>
        </w:tc>
      </w:tr>
      <w:bookmarkEnd w:id="3"/>
    </w:tbl>
    <w:p w14:paraId="1A27A8C0" w14:textId="77777777" w:rsidR="00126831" w:rsidRPr="00126831" w:rsidRDefault="00126831" w:rsidP="005C7E3D">
      <w:pPr>
        <w:jc w:val="both"/>
        <w:rPr>
          <w:sz w:val="2"/>
          <w:szCs w:val="2"/>
        </w:rPr>
      </w:pPr>
    </w:p>
    <w:p w14:paraId="00A3E142" w14:textId="2F563B24" w:rsidR="00006EEB" w:rsidRDefault="00903E98" w:rsidP="005C7E3D">
      <w:pPr>
        <w:jc w:val="both"/>
      </w:pPr>
      <w:r>
        <w:t xml:space="preserve">But what is the logic behind rebalancing? The idea is that you sell the stock that increases and buy the one that decreases; </w:t>
      </w:r>
      <w:r w:rsidRPr="00903E98">
        <w:rPr>
          <w:b/>
          <w:bCs/>
          <w:i/>
          <w:iCs/>
        </w:rPr>
        <w:t>you are selling high and buying low</w:t>
      </w:r>
      <w:r w:rsidR="00D0781C">
        <w:rPr>
          <w:b/>
          <w:bCs/>
          <w:i/>
          <w:iCs/>
        </w:rPr>
        <w:t xml:space="preserve">. </w:t>
      </w:r>
      <w:r w:rsidR="00D0781C">
        <w:t>Of course, rebalancing may and may not be great depending on the performance of the two stocks</w:t>
      </w:r>
      <w:r w:rsidR="00562435">
        <w:t xml:space="preserve"> in the future</w:t>
      </w:r>
      <w:r w:rsidR="00D0781C">
        <w:t xml:space="preserve">. </w:t>
      </w:r>
      <w:r w:rsidR="00006EEB">
        <w:t>For instance, consider the following scenario:</w:t>
      </w:r>
    </w:p>
    <w:p w14:paraId="2BD01D6F" w14:textId="410808A8" w:rsidR="00006EEB" w:rsidRDefault="00562435" w:rsidP="00562435">
      <w:pPr>
        <w:jc w:val="center"/>
      </w:pPr>
      <w:r>
        <w:rPr>
          <w:noProof/>
        </w:rPr>
        <w:drawing>
          <wp:inline distT="0" distB="0" distL="0" distR="0" wp14:anchorId="606FBF6A" wp14:editId="5866E022">
            <wp:extent cx="2147636" cy="1969113"/>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22" cstate="print">
                      <a:extLst>
                        <a:ext uri="{28A0092B-C50C-407E-A947-70E740481C1C}">
                          <a14:useLocalDpi xmlns:a14="http://schemas.microsoft.com/office/drawing/2010/main" val="0"/>
                        </a:ext>
                      </a:extLst>
                    </a:blip>
                    <a:stretch>
                      <a:fillRect/>
                    </a:stretch>
                  </pic:blipFill>
                  <pic:spPr bwMode="auto">
                    <a:xfrm>
                      <a:off x="0" y="0"/>
                      <a:ext cx="2147636" cy="1969113"/>
                    </a:xfrm>
                    <a:prstGeom prst="rect">
                      <a:avLst/>
                    </a:prstGeom>
                    <a:noFill/>
                    <a:ln>
                      <a:noFill/>
                    </a:ln>
                  </pic:spPr>
                </pic:pic>
              </a:graphicData>
            </a:graphic>
          </wp:inline>
        </w:drawing>
      </w:r>
    </w:p>
    <w:p w14:paraId="7CC8CED5" w14:textId="499BEE41" w:rsidR="00562435" w:rsidRDefault="00EE6B8D" w:rsidP="00562435">
      <w:r>
        <w:t>At time 3:</w:t>
      </w:r>
    </w:p>
    <w:tbl>
      <w:tblPr>
        <w:tblStyle w:val="GridTable1Light-Accent5"/>
        <w:tblW w:w="0" w:type="auto"/>
        <w:tblLook w:val="04A0" w:firstRow="1" w:lastRow="0" w:firstColumn="1" w:lastColumn="0" w:noHBand="0" w:noVBand="1"/>
      </w:tblPr>
      <w:tblGrid>
        <w:gridCol w:w="715"/>
        <w:gridCol w:w="2340"/>
        <w:gridCol w:w="2160"/>
        <w:gridCol w:w="2371"/>
        <w:gridCol w:w="1764"/>
      </w:tblGrid>
      <w:tr w:rsidR="00EE6B8D" w14:paraId="757CC3C9" w14:textId="77777777" w:rsidTr="00EE6B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BDD6EE" w:themeColor="accent5" w:themeTint="66"/>
              <w:left w:val="single" w:sz="4" w:space="0" w:color="BDD6EE" w:themeColor="accent5" w:themeTint="66"/>
              <w:right w:val="single" w:sz="4" w:space="0" w:color="BDD6EE" w:themeColor="accent5" w:themeTint="66"/>
            </w:tcBorders>
            <w:hideMark/>
          </w:tcPr>
          <w:p w14:paraId="7709A02A" w14:textId="77777777" w:rsidR="00EE6B8D" w:rsidRDefault="00EE6B8D">
            <w:pPr>
              <w:jc w:val="center"/>
            </w:pPr>
            <w:bookmarkStart w:id="4" w:name="OLE_LINK4"/>
            <w:r>
              <w:t>Stock</w:t>
            </w:r>
          </w:p>
        </w:tc>
        <w:tc>
          <w:tcPr>
            <w:tcW w:w="2340" w:type="dxa"/>
            <w:tcBorders>
              <w:top w:val="single" w:sz="4" w:space="0" w:color="BDD6EE" w:themeColor="accent5" w:themeTint="66"/>
              <w:left w:val="single" w:sz="4" w:space="0" w:color="BDD6EE" w:themeColor="accent5" w:themeTint="66"/>
              <w:right w:val="single" w:sz="4" w:space="0" w:color="BDD6EE" w:themeColor="accent5" w:themeTint="66"/>
            </w:tcBorders>
            <w:hideMark/>
          </w:tcPr>
          <w:p w14:paraId="475267B7" w14:textId="77777777" w:rsidR="00EE6B8D" w:rsidRDefault="00EE6B8D">
            <w:pPr>
              <w:jc w:val="center"/>
              <w:cnfStyle w:val="100000000000" w:firstRow="1" w:lastRow="0" w:firstColumn="0" w:lastColumn="0" w:oddVBand="0" w:evenVBand="0" w:oddHBand="0" w:evenHBand="0" w:firstRowFirstColumn="0" w:firstRowLastColumn="0" w:lastRowFirstColumn="0" w:lastRowLastColumn="0"/>
            </w:pPr>
            <w:r>
              <w:t>Portfolio Allocation</w:t>
            </w:r>
          </w:p>
        </w:tc>
        <w:tc>
          <w:tcPr>
            <w:tcW w:w="2160" w:type="dxa"/>
            <w:tcBorders>
              <w:top w:val="single" w:sz="4" w:space="0" w:color="BDD6EE" w:themeColor="accent5" w:themeTint="66"/>
              <w:left w:val="single" w:sz="4" w:space="0" w:color="BDD6EE" w:themeColor="accent5" w:themeTint="66"/>
              <w:right w:val="single" w:sz="4" w:space="0" w:color="BDD6EE" w:themeColor="accent5" w:themeTint="66"/>
            </w:tcBorders>
            <w:hideMark/>
          </w:tcPr>
          <w:p w14:paraId="3F61A615" w14:textId="77777777" w:rsidR="00EE6B8D" w:rsidRDefault="00EE6B8D">
            <w:pPr>
              <w:jc w:val="center"/>
              <w:cnfStyle w:val="100000000000" w:firstRow="1" w:lastRow="0" w:firstColumn="0" w:lastColumn="0" w:oddVBand="0" w:evenVBand="0" w:oddHBand="0" w:evenHBand="0" w:firstRowFirstColumn="0" w:firstRowLastColumn="0" w:lastRowFirstColumn="0" w:lastRowLastColumn="0"/>
            </w:pPr>
            <w:r>
              <w:t>Share Price</w:t>
            </w:r>
          </w:p>
        </w:tc>
        <w:tc>
          <w:tcPr>
            <w:tcW w:w="2371" w:type="dxa"/>
            <w:tcBorders>
              <w:top w:val="single" w:sz="4" w:space="0" w:color="BDD6EE" w:themeColor="accent5" w:themeTint="66"/>
              <w:left w:val="single" w:sz="4" w:space="0" w:color="BDD6EE" w:themeColor="accent5" w:themeTint="66"/>
              <w:right w:val="single" w:sz="4" w:space="0" w:color="BDD6EE" w:themeColor="accent5" w:themeTint="66"/>
            </w:tcBorders>
            <w:hideMark/>
          </w:tcPr>
          <w:p w14:paraId="202D3BDD" w14:textId="77777777" w:rsidR="00EE6B8D" w:rsidRDefault="00EE6B8D">
            <w:pPr>
              <w:jc w:val="center"/>
              <w:cnfStyle w:val="100000000000" w:firstRow="1" w:lastRow="0" w:firstColumn="0" w:lastColumn="0" w:oddVBand="0" w:evenVBand="0" w:oddHBand="0" w:evenHBand="0" w:firstRowFirstColumn="0" w:firstRowLastColumn="0" w:lastRowFirstColumn="0" w:lastRowLastColumn="0"/>
            </w:pPr>
            <w:r>
              <w:t>No. of Shares Owned</w:t>
            </w:r>
          </w:p>
        </w:tc>
        <w:tc>
          <w:tcPr>
            <w:tcW w:w="1764" w:type="dxa"/>
            <w:tcBorders>
              <w:top w:val="single" w:sz="4" w:space="0" w:color="BDD6EE" w:themeColor="accent5" w:themeTint="66"/>
              <w:left w:val="single" w:sz="4" w:space="0" w:color="BDD6EE" w:themeColor="accent5" w:themeTint="66"/>
              <w:right w:val="single" w:sz="4" w:space="0" w:color="BDD6EE" w:themeColor="accent5" w:themeTint="66"/>
            </w:tcBorders>
            <w:hideMark/>
          </w:tcPr>
          <w:p w14:paraId="025E44A9" w14:textId="77777777" w:rsidR="00EE6B8D" w:rsidRDefault="00EE6B8D">
            <w:pPr>
              <w:jc w:val="center"/>
              <w:cnfStyle w:val="100000000000" w:firstRow="1" w:lastRow="0" w:firstColumn="0" w:lastColumn="0" w:oddVBand="0" w:evenVBand="0" w:oddHBand="0" w:evenHBand="0" w:firstRowFirstColumn="0" w:firstRowLastColumn="0" w:lastRowFirstColumn="0" w:lastRowLastColumn="0"/>
            </w:pPr>
            <w:r>
              <w:t>Money Invested</w:t>
            </w:r>
          </w:p>
        </w:tc>
      </w:tr>
      <w:tr w:rsidR="00EE6B8D" w14:paraId="703910AF" w14:textId="77777777" w:rsidTr="00EE6B8D">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4E6FDF4C" w14:textId="77777777" w:rsidR="00EE6B8D" w:rsidRDefault="00EE6B8D">
            <w:pPr>
              <w:jc w:val="center"/>
            </w:pPr>
            <w:r>
              <w:t>A</w:t>
            </w:r>
          </w:p>
        </w:tc>
        <w:tc>
          <w:tcPr>
            <w:tcW w:w="2340"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34D638F5" w14:textId="3DE1BBF1" w:rsidR="00EE6B8D" w:rsidRDefault="00776632">
            <w:pPr>
              <w:jc w:val="center"/>
              <w:cnfStyle w:val="000000000000" w:firstRow="0" w:lastRow="0" w:firstColumn="0" w:lastColumn="0" w:oddVBand="0" w:evenVBand="0" w:oddHBand="0" w:evenHBand="0" w:firstRowFirstColumn="0" w:firstRowLastColumn="0" w:lastRowFirstColumn="0" w:lastRowLastColumn="0"/>
            </w:pPr>
            <w:r>
              <w:t>8</w:t>
            </w:r>
            <w:r w:rsidR="00EE6B8D">
              <w:t>0%</w:t>
            </w:r>
          </w:p>
        </w:tc>
        <w:tc>
          <w:tcPr>
            <w:tcW w:w="2160"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1953DA62" w14:textId="3FC496E9" w:rsidR="00EE6B8D" w:rsidRDefault="00EE6B8D">
            <w:pPr>
              <w:jc w:val="center"/>
              <w:cnfStyle w:val="000000000000" w:firstRow="0" w:lastRow="0" w:firstColumn="0" w:lastColumn="0" w:oddVBand="0" w:evenVBand="0" w:oddHBand="0" w:evenHBand="0" w:firstRowFirstColumn="0" w:firstRowLastColumn="0" w:lastRowFirstColumn="0" w:lastRowLastColumn="0"/>
            </w:pPr>
            <w:r>
              <w:t>$5</w:t>
            </w:r>
            <w:r w:rsidR="00776632">
              <w:t>0</w:t>
            </w:r>
          </w:p>
        </w:tc>
        <w:tc>
          <w:tcPr>
            <w:tcW w:w="2371"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40EDB11A" w14:textId="03B03986" w:rsidR="00EE6B8D" w:rsidRDefault="00776632">
            <w:pPr>
              <w:jc w:val="center"/>
              <w:cnfStyle w:val="000000000000" w:firstRow="0" w:lastRow="0" w:firstColumn="0" w:lastColumn="0" w:oddVBand="0" w:evenVBand="0" w:oddHBand="0" w:evenHBand="0" w:firstRowFirstColumn="0" w:firstRowLastColumn="0" w:lastRowFirstColumn="0" w:lastRowLastColumn="0"/>
            </w:pPr>
            <w:r>
              <w:t>250</w:t>
            </w:r>
          </w:p>
        </w:tc>
        <w:tc>
          <w:tcPr>
            <w:tcW w:w="1764"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79B00191" w14:textId="01D2BE04" w:rsidR="00EE6B8D" w:rsidRDefault="00EE6B8D">
            <w:pPr>
              <w:jc w:val="center"/>
              <w:cnfStyle w:val="000000000000" w:firstRow="0" w:lastRow="0" w:firstColumn="0" w:lastColumn="0" w:oddVBand="0" w:evenVBand="0" w:oddHBand="0" w:evenHBand="0" w:firstRowFirstColumn="0" w:firstRowLastColumn="0" w:lastRowFirstColumn="0" w:lastRowLastColumn="0"/>
            </w:pPr>
            <w:r>
              <w:t>$</w:t>
            </w:r>
            <w:r w:rsidR="00776632">
              <w:t>12,500</w:t>
            </w:r>
          </w:p>
        </w:tc>
      </w:tr>
      <w:tr w:rsidR="00EE6B8D" w14:paraId="3C7E0C73" w14:textId="77777777" w:rsidTr="00EE6B8D">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5841F0E6" w14:textId="77777777" w:rsidR="00EE6B8D" w:rsidRDefault="00EE6B8D">
            <w:pPr>
              <w:jc w:val="center"/>
            </w:pPr>
            <w:r>
              <w:t>B</w:t>
            </w:r>
          </w:p>
        </w:tc>
        <w:tc>
          <w:tcPr>
            <w:tcW w:w="2340"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74C393F9" w14:textId="7FD23EEA" w:rsidR="00EE6B8D" w:rsidRDefault="00776632">
            <w:pPr>
              <w:jc w:val="center"/>
              <w:cnfStyle w:val="000000000000" w:firstRow="0" w:lastRow="0" w:firstColumn="0" w:lastColumn="0" w:oddVBand="0" w:evenVBand="0" w:oddHBand="0" w:evenHBand="0" w:firstRowFirstColumn="0" w:firstRowLastColumn="0" w:lastRowFirstColumn="0" w:lastRowLastColumn="0"/>
            </w:pPr>
            <w:r>
              <w:t>2</w:t>
            </w:r>
            <w:r w:rsidR="00EE6B8D">
              <w:t>0%</w:t>
            </w:r>
          </w:p>
        </w:tc>
        <w:tc>
          <w:tcPr>
            <w:tcW w:w="2160"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0E10B14B" w14:textId="73DE44E1" w:rsidR="00EE6B8D" w:rsidRDefault="00EE6B8D">
            <w:pPr>
              <w:jc w:val="center"/>
              <w:cnfStyle w:val="000000000000" w:firstRow="0" w:lastRow="0" w:firstColumn="0" w:lastColumn="0" w:oddVBand="0" w:evenVBand="0" w:oddHBand="0" w:evenHBand="0" w:firstRowFirstColumn="0" w:firstRowLastColumn="0" w:lastRowFirstColumn="0" w:lastRowLastColumn="0"/>
            </w:pPr>
            <w:r>
              <w:t>$5</w:t>
            </w:r>
          </w:p>
        </w:tc>
        <w:tc>
          <w:tcPr>
            <w:tcW w:w="2371"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316E4B36" w14:textId="10B00F70" w:rsidR="00EE6B8D" w:rsidRDefault="00776632">
            <w:pPr>
              <w:jc w:val="center"/>
              <w:cnfStyle w:val="000000000000" w:firstRow="0" w:lastRow="0" w:firstColumn="0" w:lastColumn="0" w:oddVBand="0" w:evenVBand="0" w:oddHBand="0" w:evenHBand="0" w:firstRowFirstColumn="0" w:firstRowLastColumn="0" w:lastRowFirstColumn="0" w:lastRowLastColumn="0"/>
            </w:pPr>
            <w:r>
              <w:t>625</w:t>
            </w:r>
          </w:p>
        </w:tc>
        <w:tc>
          <w:tcPr>
            <w:tcW w:w="1764"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6F481C99" w14:textId="52F59CAC" w:rsidR="00EE6B8D" w:rsidRDefault="00EE6B8D">
            <w:pPr>
              <w:jc w:val="center"/>
              <w:cnfStyle w:val="000000000000" w:firstRow="0" w:lastRow="0" w:firstColumn="0" w:lastColumn="0" w:oddVBand="0" w:evenVBand="0" w:oddHBand="0" w:evenHBand="0" w:firstRowFirstColumn="0" w:firstRowLastColumn="0" w:lastRowFirstColumn="0" w:lastRowLastColumn="0"/>
            </w:pPr>
            <w:r>
              <w:t>$</w:t>
            </w:r>
            <w:r w:rsidR="00776632">
              <w:t>3,125</w:t>
            </w:r>
          </w:p>
        </w:tc>
      </w:tr>
    </w:tbl>
    <w:p w14:paraId="489ECFC9" w14:textId="5EC6591E" w:rsidR="00EE6B8D" w:rsidRDefault="0027082F" w:rsidP="0027082F">
      <w:pPr>
        <w:jc w:val="both"/>
      </w:pPr>
      <w:bookmarkStart w:id="5" w:name="OLE_LINK5"/>
      <w:bookmarkEnd w:id="4"/>
      <w:r>
        <w:t>So, your portfolio now worth $12,500 + $3,125 = $15,625. If you haven’t done rebalancing, you would still have had 100 shares of stock A and 1000 shares of stock B, so your portfolio would have been worth 100 * $50 + 1000 * $5 = $5,000 + $5,000 = $10,000. Rebalancing was</w:t>
      </w:r>
      <w:r w:rsidR="00EE6B8D">
        <w:t xml:space="preserve"> the perfect scenario</w:t>
      </w:r>
      <w:r>
        <w:t xml:space="preserve"> here</w:t>
      </w:r>
      <w:r w:rsidR="00EE6B8D">
        <w:t xml:space="preserve">, right? You </w:t>
      </w:r>
      <w:r w:rsidR="00776632">
        <w:t>sold stock B before it drops, and you bought stock A before it goes up, perfect.</w:t>
      </w:r>
      <w:bookmarkEnd w:id="5"/>
    </w:p>
    <w:p w14:paraId="507FA1B5" w14:textId="729333D7" w:rsidR="00776632" w:rsidRDefault="00776632" w:rsidP="00562435">
      <w:r>
        <w:t>Now, consider the following scenario:</w:t>
      </w:r>
    </w:p>
    <w:p w14:paraId="60C5235F" w14:textId="20965865" w:rsidR="00776632" w:rsidRDefault="00776632" w:rsidP="00776632">
      <w:pPr>
        <w:jc w:val="center"/>
      </w:pPr>
      <w:r>
        <w:rPr>
          <w:noProof/>
        </w:rPr>
        <w:drawing>
          <wp:inline distT="0" distB="0" distL="0" distR="0" wp14:anchorId="192EE7D9" wp14:editId="7D0D1614">
            <wp:extent cx="2204720" cy="2059858"/>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2216656" cy="2071010"/>
                    </a:xfrm>
                    <a:prstGeom prst="rect">
                      <a:avLst/>
                    </a:prstGeom>
                    <a:noFill/>
                    <a:ln>
                      <a:noFill/>
                    </a:ln>
                  </pic:spPr>
                </pic:pic>
              </a:graphicData>
            </a:graphic>
          </wp:inline>
        </w:drawing>
      </w:r>
    </w:p>
    <w:p w14:paraId="471EB8FE" w14:textId="77777777" w:rsidR="0027082F" w:rsidRDefault="0027082F" w:rsidP="00776632">
      <w:pPr>
        <w:jc w:val="center"/>
      </w:pPr>
    </w:p>
    <w:p w14:paraId="57233123" w14:textId="77777777" w:rsidR="0027082F" w:rsidRDefault="0027082F" w:rsidP="00776632">
      <w:pPr>
        <w:jc w:val="center"/>
      </w:pPr>
    </w:p>
    <w:p w14:paraId="0BD1E6F3" w14:textId="0505CABA" w:rsidR="00776632" w:rsidRDefault="00776632" w:rsidP="00776632">
      <w:r>
        <w:lastRenderedPageBreak/>
        <w:t>At time 3:</w:t>
      </w:r>
    </w:p>
    <w:tbl>
      <w:tblPr>
        <w:tblStyle w:val="GridTable1Light-Accent5"/>
        <w:tblW w:w="0" w:type="auto"/>
        <w:tblLook w:val="04A0" w:firstRow="1" w:lastRow="0" w:firstColumn="1" w:lastColumn="0" w:noHBand="0" w:noVBand="1"/>
      </w:tblPr>
      <w:tblGrid>
        <w:gridCol w:w="715"/>
        <w:gridCol w:w="2340"/>
        <w:gridCol w:w="2160"/>
        <w:gridCol w:w="2371"/>
        <w:gridCol w:w="1764"/>
      </w:tblGrid>
      <w:tr w:rsidR="00776632" w14:paraId="294B8F6D" w14:textId="77777777" w:rsidTr="007766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BDD6EE" w:themeColor="accent5" w:themeTint="66"/>
              <w:left w:val="single" w:sz="4" w:space="0" w:color="BDD6EE" w:themeColor="accent5" w:themeTint="66"/>
              <w:right w:val="single" w:sz="4" w:space="0" w:color="BDD6EE" w:themeColor="accent5" w:themeTint="66"/>
            </w:tcBorders>
            <w:hideMark/>
          </w:tcPr>
          <w:p w14:paraId="6EE09CF3" w14:textId="77777777" w:rsidR="00776632" w:rsidRDefault="00776632">
            <w:pPr>
              <w:jc w:val="center"/>
            </w:pPr>
            <w:r>
              <w:t>Stock</w:t>
            </w:r>
          </w:p>
        </w:tc>
        <w:tc>
          <w:tcPr>
            <w:tcW w:w="2340" w:type="dxa"/>
            <w:tcBorders>
              <w:top w:val="single" w:sz="4" w:space="0" w:color="BDD6EE" w:themeColor="accent5" w:themeTint="66"/>
              <w:left w:val="single" w:sz="4" w:space="0" w:color="BDD6EE" w:themeColor="accent5" w:themeTint="66"/>
              <w:right w:val="single" w:sz="4" w:space="0" w:color="BDD6EE" w:themeColor="accent5" w:themeTint="66"/>
            </w:tcBorders>
            <w:hideMark/>
          </w:tcPr>
          <w:p w14:paraId="39F1F8CF" w14:textId="77777777" w:rsidR="00776632" w:rsidRDefault="00776632">
            <w:pPr>
              <w:jc w:val="center"/>
              <w:cnfStyle w:val="100000000000" w:firstRow="1" w:lastRow="0" w:firstColumn="0" w:lastColumn="0" w:oddVBand="0" w:evenVBand="0" w:oddHBand="0" w:evenHBand="0" w:firstRowFirstColumn="0" w:firstRowLastColumn="0" w:lastRowFirstColumn="0" w:lastRowLastColumn="0"/>
            </w:pPr>
            <w:r>
              <w:t>Portfolio Allocation</w:t>
            </w:r>
          </w:p>
        </w:tc>
        <w:tc>
          <w:tcPr>
            <w:tcW w:w="2160" w:type="dxa"/>
            <w:tcBorders>
              <w:top w:val="single" w:sz="4" w:space="0" w:color="BDD6EE" w:themeColor="accent5" w:themeTint="66"/>
              <w:left w:val="single" w:sz="4" w:space="0" w:color="BDD6EE" w:themeColor="accent5" w:themeTint="66"/>
              <w:right w:val="single" w:sz="4" w:space="0" w:color="BDD6EE" w:themeColor="accent5" w:themeTint="66"/>
            </w:tcBorders>
            <w:hideMark/>
          </w:tcPr>
          <w:p w14:paraId="12E2FD2F" w14:textId="77777777" w:rsidR="00776632" w:rsidRDefault="00776632">
            <w:pPr>
              <w:jc w:val="center"/>
              <w:cnfStyle w:val="100000000000" w:firstRow="1" w:lastRow="0" w:firstColumn="0" w:lastColumn="0" w:oddVBand="0" w:evenVBand="0" w:oddHBand="0" w:evenHBand="0" w:firstRowFirstColumn="0" w:firstRowLastColumn="0" w:lastRowFirstColumn="0" w:lastRowLastColumn="0"/>
            </w:pPr>
            <w:r>
              <w:t>Share Price</w:t>
            </w:r>
          </w:p>
        </w:tc>
        <w:tc>
          <w:tcPr>
            <w:tcW w:w="2371" w:type="dxa"/>
            <w:tcBorders>
              <w:top w:val="single" w:sz="4" w:space="0" w:color="BDD6EE" w:themeColor="accent5" w:themeTint="66"/>
              <w:left w:val="single" w:sz="4" w:space="0" w:color="BDD6EE" w:themeColor="accent5" w:themeTint="66"/>
              <w:right w:val="single" w:sz="4" w:space="0" w:color="BDD6EE" w:themeColor="accent5" w:themeTint="66"/>
            </w:tcBorders>
            <w:hideMark/>
          </w:tcPr>
          <w:p w14:paraId="2917C1B4" w14:textId="77777777" w:rsidR="00776632" w:rsidRDefault="00776632">
            <w:pPr>
              <w:jc w:val="center"/>
              <w:cnfStyle w:val="100000000000" w:firstRow="1" w:lastRow="0" w:firstColumn="0" w:lastColumn="0" w:oddVBand="0" w:evenVBand="0" w:oddHBand="0" w:evenHBand="0" w:firstRowFirstColumn="0" w:firstRowLastColumn="0" w:lastRowFirstColumn="0" w:lastRowLastColumn="0"/>
            </w:pPr>
            <w:r>
              <w:t>No. of Shares Owned</w:t>
            </w:r>
          </w:p>
        </w:tc>
        <w:tc>
          <w:tcPr>
            <w:tcW w:w="1764" w:type="dxa"/>
            <w:tcBorders>
              <w:top w:val="single" w:sz="4" w:space="0" w:color="BDD6EE" w:themeColor="accent5" w:themeTint="66"/>
              <w:left w:val="single" w:sz="4" w:space="0" w:color="BDD6EE" w:themeColor="accent5" w:themeTint="66"/>
              <w:right w:val="single" w:sz="4" w:space="0" w:color="BDD6EE" w:themeColor="accent5" w:themeTint="66"/>
            </w:tcBorders>
            <w:hideMark/>
          </w:tcPr>
          <w:p w14:paraId="0F6ED0C3" w14:textId="77777777" w:rsidR="00776632" w:rsidRDefault="00776632">
            <w:pPr>
              <w:jc w:val="center"/>
              <w:cnfStyle w:val="100000000000" w:firstRow="1" w:lastRow="0" w:firstColumn="0" w:lastColumn="0" w:oddVBand="0" w:evenVBand="0" w:oddHBand="0" w:evenHBand="0" w:firstRowFirstColumn="0" w:firstRowLastColumn="0" w:lastRowFirstColumn="0" w:lastRowLastColumn="0"/>
            </w:pPr>
            <w:r>
              <w:t>Money Invested</w:t>
            </w:r>
          </w:p>
        </w:tc>
      </w:tr>
      <w:tr w:rsidR="00776632" w14:paraId="44F4638B" w14:textId="77777777" w:rsidTr="00776632">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52CA001E" w14:textId="77777777" w:rsidR="00776632" w:rsidRDefault="00776632">
            <w:pPr>
              <w:jc w:val="center"/>
            </w:pPr>
            <w:r>
              <w:t>A</w:t>
            </w:r>
          </w:p>
        </w:tc>
        <w:tc>
          <w:tcPr>
            <w:tcW w:w="2340"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2A736F98" w14:textId="3EE53E33" w:rsidR="00776632" w:rsidRDefault="0012106C">
            <w:pPr>
              <w:jc w:val="center"/>
              <w:cnfStyle w:val="000000000000" w:firstRow="0" w:lastRow="0" w:firstColumn="0" w:lastColumn="0" w:oddVBand="0" w:evenVBand="0" w:oddHBand="0" w:evenHBand="0" w:firstRowFirstColumn="0" w:firstRowLastColumn="0" w:lastRowFirstColumn="0" w:lastRowLastColumn="0"/>
            </w:pPr>
            <w:r>
              <w:t>2</w:t>
            </w:r>
            <w:r w:rsidR="00776632">
              <w:t>0%</w:t>
            </w:r>
          </w:p>
        </w:tc>
        <w:tc>
          <w:tcPr>
            <w:tcW w:w="2160"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298CD4E4" w14:textId="2E759B08" w:rsidR="00776632" w:rsidRDefault="00776632">
            <w:pPr>
              <w:jc w:val="center"/>
              <w:cnfStyle w:val="000000000000" w:firstRow="0" w:lastRow="0" w:firstColumn="0" w:lastColumn="0" w:oddVBand="0" w:evenVBand="0" w:oddHBand="0" w:evenHBand="0" w:firstRowFirstColumn="0" w:firstRowLastColumn="0" w:lastRowFirstColumn="0" w:lastRowLastColumn="0"/>
            </w:pPr>
            <w:r>
              <w:t>$</w:t>
            </w:r>
            <w:r w:rsidR="0012106C">
              <w:t>12.5</w:t>
            </w:r>
          </w:p>
        </w:tc>
        <w:tc>
          <w:tcPr>
            <w:tcW w:w="2371"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1ACFEAEC" w14:textId="77777777" w:rsidR="00776632" w:rsidRDefault="00776632">
            <w:pPr>
              <w:jc w:val="center"/>
              <w:cnfStyle w:val="000000000000" w:firstRow="0" w:lastRow="0" w:firstColumn="0" w:lastColumn="0" w:oddVBand="0" w:evenVBand="0" w:oddHBand="0" w:evenHBand="0" w:firstRowFirstColumn="0" w:firstRowLastColumn="0" w:lastRowFirstColumn="0" w:lastRowLastColumn="0"/>
            </w:pPr>
            <w:r>
              <w:t>250</w:t>
            </w:r>
          </w:p>
        </w:tc>
        <w:tc>
          <w:tcPr>
            <w:tcW w:w="1764"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35742D23" w14:textId="25389BC2" w:rsidR="00776632" w:rsidRDefault="00776632">
            <w:pPr>
              <w:jc w:val="center"/>
              <w:cnfStyle w:val="000000000000" w:firstRow="0" w:lastRow="0" w:firstColumn="0" w:lastColumn="0" w:oddVBand="0" w:evenVBand="0" w:oddHBand="0" w:evenHBand="0" w:firstRowFirstColumn="0" w:firstRowLastColumn="0" w:lastRowFirstColumn="0" w:lastRowLastColumn="0"/>
            </w:pPr>
            <w:r>
              <w:t>$</w:t>
            </w:r>
            <w:r w:rsidR="0012106C">
              <w:t>3</w:t>
            </w:r>
            <w:r>
              <w:t>,</w:t>
            </w:r>
            <w:r w:rsidR="0012106C">
              <w:t>1</w:t>
            </w:r>
            <w:r>
              <w:t>25</w:t>
            </w:r>
          </w:p>
        </w:tc>
      </w:tr>
      <w:tr w:rsidR="00776632" w14:paraId="49318260" w14:textId="77777777" w:rsidTr="00776632">
        <w:tc>
          <w:tcPr>
            <w:cnfStyle w:val="001000000000" w:firstRow="0" w:lastRow="0" w:firstColumn="1" w:lastColumn="0" w:oddVBand="0" w:evenVBand="0" w:oddHBand="0" w:evenHBand="0" w:firstRowFirstColumn="0" w:firstRowLastColumn="0" w:lastRowFirstColumn="0" w:lastRowLastColumn="0"/>
            <w:tcW w:w="715"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6E9B9E70" w14:textId="77777777" w:rsidR="00776632" w:rsidRDefault="00776632">
            <w:pPr>
              <w:jc w:val="center"/>
            </w:pPr>
            <w:r>
              <w:t>B</w:t>
            </w:r>
          </w:p>
        </w:tc>
        <w:tc>
          <w:tcPr>
            <w:tcW w:w="2340"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631A31CF" w14:textId="39729371" w:rsidR="00776632" w:rsidRDefault="0012106C">
            <w:pPr>
              <w:jc w:val="center"/>
              <w:cnfStyle w:val="000000000000" w:firstRow="0" w:lastRow="0" w:firstColumn="0" w:lastColumn="0" w:oddVBand="0" w:evenVBand="0" w:oddHBand="0" w:evenHBand="0" w:firstRowFirstColumn="0" w:firstRowLastColumn="0" w:lastRowFirstColumn="0" w:lastRowLastColumn="0"/>
            </w:pPr>
            <w:r>
              <w:t>8</w:t>
            </w:r>
            <w:r w:rsidR="00776632">
              <w:t>0%</w:t>
            </w:r>
          </w:p>
        </w:tc>
        <w:tc>
          <w:tcPr>
            <w:tcW w:w="2160"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7EF5CD9A" w14:textId="7838FB66" w:rsidR="00776632" w:rsidRDefault="00776632">
            <w:pPr>
              <w:jc w:val="center"/>
              <w:cnfStyle w:val="000000000000" w:firstRow="0" w:lastRow="0" w:firstColumn="0" w:lastColumn="0" w:oddVBand="0" w:evenVBand="0" w:oddHBand="0" w:evenHBand="0" w:firstRowFirstColumn="0" w:firstRowLastColumn="0" w:lastRowFirstColumn="0" w:lastRowLastColumn="0"/>
            </w:pPr>
            <w:r>
              <w:t>$</w:t>
            </w:r>
            <w:r w:rsidR="0012106C">
              <w:t>2</w:t>
            </w:r>
            <w:r>
              <w:t>0</w:t>
            </w:r>
          </w:p>
        </w:tc>
        <w:tc>
          <w:tcPr>
            <w:tcW w:w="2371"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36DD935E" w14:textId="77777777" w:rsidR="00776632" w:rsidRDefault="00776632">
            <w:pPr>
              <w:jc w:val="center"/>
              <w:cnfStyle w:val="000000000000" w:firstRow="0" w:lastRow="0" w:firstColumn="0" w:lastColumn="0" w:oddVBand="0" w:evenVBand="0" w:oddHBand="0" w:evenHBand="0" w:firstRowFirstColumn="0" w:firstRowLastColumn="0" w:lastRowFirstColumn="0" w:lastRowLastColumn="0"/>
            </w:pPr>
            <w:r>
              <w:t>625</w:t>
            </w:r>
          </w:p>
        </w:tc>
        <w:tc>
          <w:tcPr>
            <w:tcW w:w="1764" w:type="dxa"/>
            <w:tc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tcBorders>
            <w:hideMark/>
          </w:tcPr>
          <w:p w14:paraId="6D6B51E4" w14:textId="08069C94" w:rsidR="00776632" w:rsidRDefault="00776632">
            <w:pPr>
              <w:jc w:val="center"/>
              <w:cnfStyle w:val="000000000000" w:firstRow="0" w:lastRow="0" w:firstColumn="0" w:lastColumn="0" w:oddVBand="0" w:evenVBand="0" w:oddHBand="0" w:evenHBand="0" w:firstRowFirstColumn="0" w:firstRowLastColumn="0" w:lastRowFirstColumn="0" w:lastRowLastColumn="0"/>
            </w:pPr>
            <w:r>
              <w:t>$</w:t>
            </w:r>
            <w:r w:rsidR="0012106C">
              <w:t>12,500</w:t>
            </w:r>
          </w:p>
        </w:tc>
      </w:tr>
    </w:tbl>
    <w:p w14:paraId="6EEB8D81" w14:textId="0419621D" w:rsidR="0027082F" w:rsidRDefault="0027082F" w:rsidP="005C7E3D">
      <w:pPr>
        <w:jc w:val="both"/>
        <w:rPr>
          <w:kern w:val="0"/>
          <w14:ligatures w14:val="none"/>
        </w:rPr>
      </w:pPr>
      <w:r>
        <w:rPr>
          <w:kern w:val="0"/>
          <w14:ligatures w14:val="none"/>
        </w:rPr>
        <w:t>So, your portfolio now worth $12,500 + $3,125 = $15,625. If you haven’t done rebalancing, you would still have had 100 shares of stock A and 1000 shares of stock B, so your portfolio would have been worth 100 * $12.5 + 1000 * $20 = $1,250 + $20,000 = $21,250. Rebalancing was not a good idea here, right? You sold stock B expecting that it would drop, but it continued to increase, and you bought stock A expecting that it would increase, but it continued to decrease.</w:t>
      </w:r>
    </w:p>
    <w:p w14:paraId="5754E946" w14:textId="6D7F7EA6" w:rsidR="00903E98" w:rsidRPr="00D0781C" w:rsidRDefault="00ED2396" w:rsidP="003E3B6D">
      <w:pPr>
        <w:jc w:val="both"/>
      </w:pPr>
      <w:r>
        <w:rPr>
          <w:kern w:val="0"/>
          <w14:ligatures w14:val="none"/>
        </w:rPr>
        <w:t>This tells us that “</w:t>
      </w:r>
      <w:r>
        <w:rPr>
          <w:b/>
          <w:bCs/>
          <w:kern w:val="0"/>
          <w14:ligatures w14:val="none"/>
        </w:rPr>
        <w:t xml:space="preserve">Rebalancing is perfect when the stock prices are zigzagging”. </w:t>
      </w:r>
      <w:r w:rsidR="003E3B6D">
        <w:t xml:space="preserve">This is why </w:t>
      </w:r>
      <w:r w:rsidR="005654B6">
        <w:t>Mohsen Hassan</w:t>
      </w:r>
      <w:r w:rsidR="003E3B6D">
        <w:t>’s</w:t>
      </w:r>
      <w:r w:rsidR="005654B6">
        <w:t xml:space="preserve"> advice</w:t>
      </w:r>
      <w:r w:rsidR="003E3B6D">
        <w:t xml:space="preserve"> is</w:t>
      </w:r>
      <w:r w:rsidR="005654B6">
        <w:t xml:space="preserve">: do rebalancing on </w:t>
      </w:r>
      <w:r w:rsidR="00620875">
        <w:t xml:space="preserve">a </w:t>
      </w:r>
      <w:r w:rsidR="005654B6">
        <w:t>sector basis</w:t>
      </w:r>
      <w:r w:rsidR="00620875">
        <w:t>,</w:t>
      </w:r>
      <w:r w:rsidR="005654B6">
        <w:t xml:space="preserve"> not stock basis. That is, rebalance every now and then across different sectors, not across different stocks.</w:t>
      </w:r>
      <w:r w:rsidR="00620875">
        <w:t xml:space="preserve"> Why? Because sectors are guaranteed to zigzag (remember the business cycle?), but stocks can continue to increase/decrease for a very long time.</w:t>
      </w:r>
      <w:r w:rsidR="005E25FA">
        <w:t xml:space="preserve"> This is what actually mutual funds do when they for example </w:t>
      </w:r>
      <w:proofErr w:type="gramStart"/>
      <w:r w:rsidR="005E25FA">
        <w:t>say</w:t>
      </w:r>
      <w:proofErr w:type="gramEnd"/>
      <w:r w:rsidR="005E25FA">
        <w:t xml:space="preserve"> “our mutual fund invests 25-30% in the energy sector, 30-40% in the health care sector, and 30-45% in the technology sector”. What happens when a sector exceeds what they are stating in their prospectus? They simply do </w:t>
      </w:r>
      <w:proofErr w:type="gramStart"/>
      <w:r w:rsidR="005E25FA">
        <w:t>rebalancing</w:t>
      </w:r>
      <w:proofErr w:type="gramEnd"/>
      <w:r w:rsidR="003A2C6B">
        <w:t xml:space="preserve"> to maintain the same percentages.</w:t>
      </w:r>
    </w:p>
    <w:p w14:paraId="7D7C6F44" w14:textId="495DD108" w:rsidR="0012423A" w:rsidRDefault="0012423A" w:rsidP="0012423A">
      <w:pPr>
        <w:pStyle w:val="Heading1"/>
      </w:pPr>
      <w:r>
        <w:t>Tactical Asset Allocation</w:t>
      </w:r>
      <w:r w:rsidR="00371D87">
        <w:t xml:space="preserve"> (TAA)</w:t>
      </w:r>
    </w:p>
    <w:p w14:paraId="110B3B82" w14:textId="079C1EED" w:rsidR="0012423A" w:rsidRDefault="008F42B7" w:rsidP="008F42B7">
      <w:pPr>
        <w:jc w:val="both"/>
      </w:pPr>
      <w:r>
        <w:t xml:space="preserve">Tactical </w:t>
      </w:r>
      <w:r w:rsidR="00371D87">
        <w:t>A</w:t>
      </w:r>
      <w:r>
        <w:t xml:space="preserve">sset </w:t>
      </w:r>
      <w:r w:rsidR="00371D87">
        <w:t>A</w:t>
      </w:r>
      <w:r>
        <w:t>llocation</w:t>
      </w:r>
      <w:r w:rsidR="00371D87">
        <w:t xml:space="preserve"> (TAA)</w:t>
      </w:r>
      <w:r>
        <w:t xml:space="preserve"> is more popular when you have equity-and-bonds or equity-bonds-gold portfolios</w:t>
      </w:r>
      <w:r w:rsidR="00407174">
        <w:t xml:space="preserve">. </w:t>
      </w:r>
      <w:r w:rsidR="00371D87">
        <w:t>So, what is TAA? Assume one decided his portfolio as follows:</w:t>
      </w:r>
    </w:p>
    <w:tbl>
      <w:tblPr>
        <w:tblStyle w:val="GridTable1Light-Accent5"/>
        <w:tblW w:w="0" w:type="auto"/>
        <w:jc w:val="center"/>
        <w:tblLook w:val="04A0" w:firstRow="1" w:lastRow="0" w:firstColumn="1" w:lastColumn="0" w:noHBand="0" w:noVBand="1"/>
      </w:tblPr>
      <w:tblGrid>
        <w:gridCol w:w="2938"/>
        <w:gridCol w:w="1231"/>
      </w:tblGrid>
      <w:tr w:rsidR="00371D87" w14:paraId="3EBD8D2E" w14:textId="77777777" w:rsidTr="00CC4698">
        <w:trPr>
          <w:cnfStyle w:val="100000000000" w:firstRow="1" w:lastRow="0" w:firstColumn="0" w:lastColumn="0" w:oddVBand="0" w:evenVBand="0" w:oddHBand="0" w:evenHBand="0" w:firstRowFirstColumn="0" w:firstRowLastColumn="0" w:lastRowFirstColumn="0" w:lastRowLastColumn="0"/>
          <w:trHeight w:val="192"/>
          <w:jc w:val="center"/>
        </w:trPr>
        <w:tc>
          <w:tcPr>
            <w:cnfStyle w:val="001000000000" w:firstRow="0" w:lastRow="0" w:firstColumn="1" w:lastColumn="0" w:oddVBand="0" w:evenVBand="0" w:oddHBand="0" w:evenHBand="0" w:firstRowFirstColumn="0" w:firstRowLastColumn="0" w:lastRowFirstColumn="0" w:lastRowLastColumn="0"/>
            <w:tcW w:w="2938" w:type="dxa"/>
          </w:tcPr>
          <w:p w14:paraId="1B45CC22" w14:textId="5909CCCB" w:rsidR="00371D87" w:rsidRDefault="00371D87" w:rsidP="00371D87">
            <w:pPr>
              <w:jc w:val="center"/>
            </w:pPr>
            <w:r>
              <w:t>Sector</w:t>
            </w:r>
          </w:p>
        </w:tc>
        <w:tc>
          <w:tcPr>
            <w:tcW w:w="1231" w:type="dxa"/>
          </w:tcPr>
          <w:p w14:paraId="5FB5063F" w14:textId="557F94EA" w:rsidR="00371D87" w:rsidRDefault="00371D87" w:rsidP="00371D87">
            <w:pPr>
              <w:jc w:val="center"/>
              <w:cnfStyle w:val="100000000000" w:firstRow="1" w:lastRow="0" w:firstColumn="0" w:lastColumn="0" w:oddVBand="0" w:evenVBand="0" w:oddHBand="0" w:evenHBand="0" w:firstRowFirstColumn="0" w:firstRowLastColumn="0" w:lastRowFirstColumn="0" w:lastRowLastColumn="0"/>
            </w:pPr>
            <w:r>
              <w:t>Percentage</w:t>
            </w:r>
          </w:p>
        </w:tc>
      </w:tr>
      <w:tr w:rsidR="00371D87" w14:paraId="53E16E96" w14:textId="77777777" w:rsidTr="00CC4698">
        <w:trPr>
          <w:trHeight w:val="186"/>
          <w:jc w:val="center"/>
        </w:trPr>
        <w:tc>
          <w:tcPr>
            <w:cnfStyle w:val="001000000000" w:firstRow="0" w:lastRow="0" w:firstColumn="1" w:lastColumn="0" w:oddVBand="0" w:evenVBand="0" w:oddHBand="0" w:evenHBand="0" w:firstRowFirstColumn="0" w:firstRowLastColumn="0" w:lastRowFirstColumn="0" w:lastRowLastColumn="0"/>
            <w:tcW w:w="2938" w:type="dxa"/>
          </w:tcPr>
          <w:p w14:paraId="08DE05F1" w14:textId="03B03B8D" w:rsidR="00371D87" w:rsidRDefault="00CC4698" w:rsidP="00371D87">
            <w:pPr>
              <w:jc w:val="center"/>
            </w:pPr>
            <w:r>
              <w:t>Technology (</w:t>
            </w:r>
            <w:r w:rsidR="00371D87">
              <w:t>XLK</w:t>
            </w:r>
            <w:r>
              <w:t>)</w:t>
            </w:r>
          </w:p>
        </w:tc>
        <w:tc>
          <w:tcPr>
            <w:tcW w:w="1231" w:type="dxa"/>
          </w:tcPr>
          <w:p w14:paraId="48969510" w14:textId="5B152126" w:rsidR="00371D87" w:rsidRDefault="00371D87" w:rsidP="00371D87">
            <w:pPr>
              <w:jc w:val="center"/>
              <w:cnfStyle w:val="000000000000" w:firstRow="0" w:lastRow="0" w:firstColumn="0" w:lastColumn="0" w:oddVBand="0" w:evenVBand="0" w:oddHBand="0" w:evenHBand="0" w:firstRowFirstColumn="0" w:firstRowLastColumn="0" w:lastRowFirstColumn="0" w:lastRowLastColumn="0"/>
            </w:pPr>
            <w:r>
              <w:t>25%</w:t>
            </w:r>
          </w:p>
        </w:tc>
      </w:tr>
      <w:tr w:rsidR="00371D87" w14:paraId="702DDC93" w14:textId="77777777" w:rsidTr="00CC4698">
        <w:trPr>
          <w:trHeight w:val="192"/>
          <w:jc w:val="center"/>
        </w:trPr>
        <w:tc>
          <w:tcPr>
            <w:cnfStyle w:val="001000000000" w:firstRow="0" w:lastRow="0" w:firstColumn="1" w:lastColumn="0" w:oddVBand="0" w:evenVBand="0" w:oddHBand="0" w:evenHBand="0" w:firstRowFirstColumn="0" w:firstRowLastColumn="0" w:lastRowFirstColumn="0" w:lastRowLastColumn="0"/>
            <w:tcW w:w="2938" w:type="dxa"/>
          </w:tcPr>
          <w:p w14:paraId="0A5C604A" w14:textId="77384DC4" w:rsidR="00371D87" w:rsidRDefault="00CC4698" w:rsidP="00371D87">
            <w:pPr>
              <w:jc w:val="center"/>
            </w:pPr>
            <w:r>
              <w:t>Consumer Staples (</w:t>
            </w:r>
            <w:r w:rsidR="00371D87">
              <w:t>XLP</w:t>
            </w:r>
            <w:r>
              <w:t>)</w:t>
            </w:r>
          </w:p>
        </w:tc>
        <w:tc>
          <w:tcPr>
            <w:tcW w:w="1231" w:type="dxa"/>
          </w:tcPr>
          <w:p w14:paraId="14E6AAA9" w14:textId="22031C81" w:rsidR="00371D87" w:rsidRDefault="00371D87" w:rsidP="00371D87">
            <w:pPr>
              <w:jc w:val="center"/>
              <w:cnfStyle w:val="000000000000" w:firstRow="0" w:lastRow="0" w:firstColumn="0" w:lastColumn="0" w:oddVBand="0" w:evenVBand="0" w:oddHBand="0" w:evenHBand="0" w:firstRowFirstColumn="0" w:firstRowLastColumn="0" w:lastRowFirstColumn="0" w:lastRowLastColumn="0"/>
            </w:pPr>
            <w:r>
              <w:t>25%</w:t>
            </w:r>
          </w:p>
        </w:tc>
      </w:tr>
      <w:tr w:rsidR="00371D87" w14:paraId="3336A528" w14:textId="77777777" w:rsidTr="00CC4698">
        <w:trPr>
          <w:trHeight w:val="192"/>
          <w:jc w:val="center"/>
        </w:trPr>
        <w:tc>
          <w:tcPr>
            <w:cnfStyle w:val="001000000000" w:firstRow="0" w:lastRow="0" w:firstColumn="1" w:lastColumn="0" w:oddVBand="0" w:evenVBand="0" w:oddHBand="0" w:evenHBand="0" w:firstRowFirstColumn="0" w:firstRowLastColumn="0" w:lastRowFirstColumn="0" w:lastRowLastColumn="0"/>
            <w:tcW w:w="2938" w:type="dxa"/>
          </w:tcPr>
          <w:p w14:paraId="2A73E2AC" w14:textId="41E80B43" w:rsidR="00371D87" w:rsidRDefault="00CC4698" w:rsidP="00371D87">
            <w:pPr>
              <w:jc w:val="center"/>
            </w:pPr>
            <w:r>
              <w:t>Health Care (</w:t>
            </w:r>
            <w:r w:rsidR="00371D87">
              <w:t>XLV</w:t>
            </w:r>
            <w:r>
              <w:t>)</w:t>
            </w:r>
          </w:p>
        </w:tc>
        <w:tc>
          <w:tcPr>
            <w:tcW w:w="1231" w:type="dxa"/>
          </w:tcPr>
          <w:p w14:paraId="3ACBB049" w14:textId="57BC9A89" w:rsidR="00371D87" w:rsidRDefault="00371D87" w:rsidP="00371D87">
            <w:pPr>
              <w:jc w:val="center"/>
              <w:cnfStyle w:val="000000000000" w:firstRow="0" w:lastRow="0" w:firstColumn="0" w:lastColumn="0" w:oddVBand="0" w:evenVBand="0" w:oddHBand="0" w:evenHBand="0" w:firstRowFirstColumn="0" w:firstRowLastColumn="0" w:lastRowFirstColumn="0" w:lastRowLastColumn="0"/>
            </w:pPr>
            <w:r>
              <w:t>25%</w:t>
            </w:r>
          </w:p>
        </w:tc>
      </w:tr>
      <w:tr w:rsidR="00371D87" w14:paraId="5C4E1603" w14:textId="77777777" w:rsidTr="00CC4698">
        <w:trPr>
          <w:trHeight w:val="192"/>
          <w:jc w:val="center"/>
        </w:trPr>
        <w:tc>
          <w:tcPr>
            <w:cnfStyle w:val="001000000000" w:firstRow="0" w:lastRow="0" w:firstColumn="1" w:lastColumn="0" w:oddVBand="0" w:evenVBand="0" w:oddHBand="0" w:evenHBand="0" w:firstRowFirstColumn="0" w:firstRowLastColumn="0" w:lastRowFirstColumn="0" w:lastRowLastColumn="0"/>
            <w:tcW w:w="2938" w:type="dxa"/>
          </w:tcPr>
          <w:p w14:paraId="526AB1B1" w14:textId="1326D648" w:rsidR="00371D87" w:rsidRDefault="00CC4698" w:rsidP="00371D87">
            <w:pPr>
              <w:jc w:val="center"/>
            </w:pPr>
            <w:r>
              <w:t>Consumer Discretionary (</w:t>
            </w:r>
            <w:r w:rsidR="00371D87">
              <w:t>XLY</w:t>
            </w:r>
            <w:r>
              <w:t>)</w:t>
            </w:r>
          </w:p>
        </w:tc>
        <w:tc>
          <w:tcPr>
            <w:tcW w:w="1231" w:type="dxa"/>
          </w:tcPr>
          <w:p w14:paraId="622FBC0C" w14:textId="5B149065" w:rsidR="00371D87" w:rsidRDefault="00371D87" w:rsidP="00371D87">
            <w:pPr>
              <w:jc w:val="center"/>
              <w:cnfStyle w:val="000000000000" w:firstRow="0" w:lastRow="0" w:firstColumn="0" w:lastColumn="0" w:oddVBand="0" w:evenVBand="0" w:oddHBand="0" w:evenHBand="0" w:firstRowFirstColumn="0" w:firstRowLastColumn="0" w:lastRowFirstColumn="0" w:lastRowLastColumn="0"/>
            </w:pPr>
            <w:r>
              <w:t>25%</w:t>
            </w:r>
          </w:p>
        </w:tc>
      </w:tr>
    </w:tbl>
    <w:p w14:paraId="35232F92" w14:textId="6E52C302" w:rsidR="00371D87" w:rsidRDefault="00CC4698" w:rsidP="00CC4698">
      <w:pPr>
        <w:jc w:val="both"/>
      </w:pPr>
      <w:r>
        <w:t xml:space="preserve">And as we said, as the stocks begin to play, these percentages will change, so a trader might do rebalancing to maintain the same percentages. However, assume there is a market crash. Since technology and consumer discretionary sectors are cyclical sectors, </w:t>
      </w:r>
      <w:r w:rsidR="00503AE0">
        <w:t xml:space="preserve">they might be down more than health care and consumer staples sectors. Accordingly, the trader might consider </w:t>
      </w:r>
      <w:r w:rsidR="00941EA7">
        <w:t>totally changing his portfolio’s percentages because he sees that it is an opportunity to buy more in the technology and consumer discretionary sectors. Accordingly, he might change his allocation as follows:</w:t>
      </w:r>
    </w:p>
    <w:tbl>
      <w:tblPr>
        <w:tblStyle w:val="GridTable1Light-Accent5"/>
        <w:tblW w:w="0" w:type="auto"/>
        <w:jc w:val="center"/>
        <w:tblLook w:val="04A0" w:firstRow="1" w:lastRow="0" w:firstColumn="1" w:lastColumn="0" w:noHBand="0" w:noVBand="1"/>
      </w:tblPr>
      <w:tblGrid>
        <w:gridCol w:w="2938"/>
        <w:gridCol w:w="1231"/>
      </w:tblGrid>
      <w:tr w:rsidR="00556697" w14:paraId="67872A1A" w14:textId="77777777" w:rsidTr="00981956">
        <w:trPr>
          <w:cnfStyle w:val="100000000000" w:firstRow="1" w:lastRow="0" w:firstColumn="0" w:lastColumn="0" w:oddVBand="0" w:evenVBand="0" w:oddHBand="0" w:evenHBand="0" w:firstRowFirstColumn="0" w:firstRowLastColumn="0" w:lastRowFirstColumn="0" w:lastRowLastColumn="0"/>
          <w:trHeight w:val="192"/>
          <w:jc w:val="center"/>
        </w:trPr>
        <w:tc>
          <w:tcPr>
            <w:cnfStyle w:val="001000000000" w:firstRow="0" w:lastRow="0" w:firstColumn="1" w:lastColumn="0" w:oddVBand="0" w:evenVBand="0" w:oddHBand="0" w:evenHBand="0" w:firstRowFirstColumn="0" w:firstRowLastColumn="0" w:lastRowFirstColumn="0" w:lastRowLastColumn="0"/>
            <w:tcW w:w="2938" w:type="dxa"/>
          </w:tcPr>
          <w:p w14:paraId="0A79C4D3" w14:textId="77777777" w:rsidR="00556697" w:rsidRDefault="00556697" w:rsidP="00981956">
            <w:pPr>
              <w:jc w:val="center"/>
            </w:pPr>
            <w:r>
              <w:t>Sector</w:t>
            </w:r>
          </w:p>
        </w:tc>
        <w:tc>
          <w:tcPr>
            <w:tcW w:w="1231" w:type="dxa"/>
          </w:tcPr>
          <w:p w14:paraId="7C8077F7" w14:textId="77777777" w:rsidR="00556697" w:rsidRDefault="00556697" w:rsidP="00981956">
            <w:pPr>
              <w:jc w:val="center"/>
              <w:cnfStyle w:val="100000000000" w:firstRow="1" w:lastRow="0" w:firstColumn="0" w:lastColumn="0" w:oddVBand="0" w:evenVBand="0" w:oddHBand="0" w:evenHBand="0" w:firstRowFirstColumn="0" w:firstRowLastColumn="0" w:lastRowFirstColumn="0" w:lastRowLastColumn="0"/>
            </w:pPr>
            <w:r>
              <w:t>Percentage</w:t>
            </w:r>
          </w:p>
        </w:tc>
      </w:tr>
      <w:tr w:rsidR="00556697" w14:paraId="71607FC9" w14:textId="77777777" w:rsidTr="00981956">
        <w:trPr>
          <w:trHeight w:val="186"/>
          <w:jc w:val="center"/>
        </w:trPr>
        <w:tc>
          <w:tcPr>
            <w:cnfStyle w:val="001000000000" w:firstRow="0" w:lastRow="0" w:firstColumn="1" w:lastColumn="0" w:oddVBand="0" w:evenVBand="0" w:oddHBand="0" w:evenHBand="0" w:firstRowFirstColumn="0" w:firstRowLastColumn="0" w:lastRowFirstColumn="0" w:lastRowLastColumn="0"/>
            <w:tcW w:w="2938" w:type="dxa"/>
          </w:tcPr>
          <w:p w14:paraId="47670C86" w14:textId="77777777" w:rsidR="00556697" w:rsidRDefault="00556697" w:rsidP="00981956">
            <w:pPr>
              <w:jc w:val="center"/>
            </w:pPr>
            <w:r>
              <w:t>Technology (XLK)</w:t>
            </w:r>
          </w:p>
        </w:tc>
        <w:tc>
          <w:tcPr>
            <w:tcW w:w="1231" w:type="dxa"/>
          </w:tcPr>
          <w:p w14:paraId="57584BCB" w14:textId="41571DB4" w:rsidR="00556697" w:rsidRDefault="00556697" w:rsidP="00981956">
            <w:pPr>
              <w:jc w:val="center"/>
              <w:cnfStyle w:val="000000000000" w:firstRow="0" w:lastRow="0" w:firstColumn="0" w:lastColumn="0" w:oddVBand="0" w:evenVBand="0" w:oddHBand="0" w:evenHBand="0" w:firstRowFirstColumn="0" w:firstRowLastColumn="0" w:lastRowFirstColumn="0" w:lastRowLastColumn="0"/>
            </w:pPr>
            <w:r>
              <w:t>30%</w:t>
            </w:r>
          </w:p>
        </w:tc>
      </w:tr>
      <w:tr w:rsidR="00556697" w14:paraId="7138B54B" w14:textId="77777777" w:rsidTr="00981956">
        <w:trPr>
          <w:trHeight w:val="192"/>
          <w:jc w:val="center"/>
        </w:trPr>
        <w:tc>
          <w:tcPr>
            <w:cnfStyle w:val="001000000000" w:firstRow="0" w:lastRow="0" w:firstColumn="1" w:lastColumn="0" w:oddVBand="0" w:evenVBand="0" w:oddHBand="0" w:evenHBand="0" w:firstRowFirstColumn="0" w:firstRowLastColumn="0" w:lastRowFirstColumn="0" w:lastRowLastColumn="0"/>
            <w:tcW w:w="2938" w:type="dxa"/>
          </w:tcPr>
          <w:p w14:paraId="1E134871" w14:textId="77777777" w:rsidR="00556697" w:rsidRDefault="00556697" w:rsidP="00981956">
            <w:pPr>
              <w:jc w:val="center"/>
            </w:pPr>
            <w:r>
              <w:t>Consumer Staples (XLP)</w:t>
            </w:r>
          </w:p>
        </w:tc>
        <w:tc>
          <w:tcPr>
            <w:tcW w:w="1231" w:type="dxa"/>
          </w:tcPr>
          <w:p w14:paraId="64CEEBCB" w14:textId="621E1E0B" w:rsidR="00556697" w:rsidRDefault="00556697" w:rsidP="00981956">
            <w:pPr>
              <w:jc w:val="center"/>
              <w:cnfStyle w:val="000000000000" w:firstRow="0" w:lastRow="0" w:firstColumn="0" w:lastColumn="0" w:oddVBand="0" w:evenVBand="0" w:oddHBand="0" w:evenHBand="0" w:firstRowFirstColumn="0" w:firstRowLastColumn="0" w:lastRowFirstColumn="0" w:lastRowLastColumn="0"/>
            </w:pPr>
            <w:r>
              <w:t>20%</w:t>
            </w:r>
          </w:p>
        </w:tc>
      </w:tr>
      <w:tr w:rsidR="00556697" w14:paraId="5BFC5F9E" w14:textId="77777777" w:rsidTr="00981956">
        <w:trPr>
          <w:trHeight w:val="192"/>
          <w:jc w:val="center"/>
        </w:trPr>
        <w:tc>
          <w:tcPr>
            <w:cnfStyle w:val="001000000000" w:firstRow="0" w:lastRow="0" w:firstColumn="1" w:lastColumn="0" w:oddVBand="0" w:evenVBand="0" w:oddHBand="0" w:evenHBand="0" w:firstRowFirstColumn="0" w:firstRowLastColumn="0" w:lastRowFirstColumn="0" w:lastRowLastColumn="0"/>
            <w:tcW w:w="2938" w:type="dxa"/>
          </w:tcPr>
          <w:p w14:paraId="278FE354" w14:textId="77777777" w:rsidR="00556697" w:rsidRDefault="00556697" w:rsidP="00981956">
            <w:pPr>
              <w:jc w:val="center"/>
            </w:pPr>
            <w:r>
              <w:t>Health Care (XLV)</w:t>
            </w:r>
          </w:p>
        </w:tc>
        <w:tc>
          <w:tcPr>
            <w:tcW w:w="1231" w:type="dxa"/>
          </w:tcPr>
          <w:p w14:paraId="5610C257" w14:textId="40CB553F" w:rsidR="00556697" w:rsidRDefault="00556697" w:rsidP="00981956">
            <w:pPr>
              <w:jc w:val="center"/>
              <w:cnfStyle w:val="000000000000" w:firstRow="0" w:lastRow="0" w:firstColumn="0" w:lastColumn="0" w:oddVBand="0" w:evenVBand="0" w:oddHBand="0" w:evenHBand="0" w:firstRowFirstColumn="0" w:firstRowLastColumn="0" w:lastRowFirstColumn="0" w:lastRowLastColumn="0"/>
            </w:pPr>
            <w:r>
              <w:t>20%</w:t>
            </w:r>
          </w:p>
        </w:tc>
      </w:tr>
      <w:tr w:rsidR="00556697" w14:paraId="07B734DC" w14:textId="77777777" w:rsidTr="00981956">
        <w:trPr>
          <w:trHeight w:val="192"/>
          <w:jc w:val="center"/>
        </w:trPr>
        <w:tc>
          <w:tcPr>
            <w:cnfStyle w:val="001000000000" w:firstRow="0" w:lastRow="0" w:firstColumn="1" w:lastColumn="0" w:oddVBand="0" w:evenVBand="0" w:oddHBand="0" w:evenHBand="0" w:firstRowFirstColumn="0" w:firstRowLastColumn="0" w:lastRowFirstColumn="0" w:lastRowLastColumn="0"/>
            <w:tcW w:w="2938" w:type="dxa"/>
          </w:tcPr>
          <w:p w14:paraId="7BED0C55" w14:textId="77777777" w:rsidR="00556697" w:rsidRDefault="00556697" w:rsidP="00981956">
            <w:pPr>
              <w:jc w:val="center"/>
            </w:pPr>
            <w:r>
              <w:t>Consumer Discretionary (XLY)</w:t>
            </w:r>
          </w:p>
        </w:tc>
        <w:tc>
          <w:tcPr>
            <w:tcW w:w="1231" w:type="dxa"/>
          </w:tcPr>
          <w:p w14:paraId="4FFF1436" w14:textId="05F61439" w:rsidR="00556697" w:rsidRDefault="00556697" w:rsidP="00981956">
            <w:pPr>
              <w:jc w:val="center"/>
              <w:cnfStyle w:val="000000000000" w:firstRow="0" w:lastRow="0" w:firstColumn="0" w:lastColumn="0" w:oddVBand="0" w:evenVBand="0" w:oddHBand="0" w:evenHBand="0" w:firstRowFirstColumn="0" w:firstRowLastColumn="0" w:lastRowFirstColumn="0" w:lastRowLastColumn="0"/>
            </w:pPr>
            <w:r>
              <w:t>30%</w:t>
            </w:r>
          </w:p>
        </w:tc>
      </w:tr>
    </w:tbl>
    <w:p w14:paraId="2A36E9A6" w14:textId="606F8D3F" w:rsidR="00556697" w:rsidRDefault="00556697" w:rsidP="003F2618">
      <w:pPr>
        <w:jc w:val="both"/>
      </w:pPr>
      <w:r>
        <w:t>This is what is called TAA</w:t>
      </w:r>
      <w:r w:rsidR="003F2618">
        <w:t>; TAA</w:t>
      </w:r>
      <w:r w:rsidR="003F2618" w:rsidRPr="003F2618">
        <w:t xml:space="preserve"> is an active management portfolio strategy that shifts the percentage of assets</w:t>
      </w:r>
      <w:r w:rsidR="003F2618">
        <w:t xml:space="preserve"> </w:t>
      </w:r>
      <w:r w:rsidR="003F2618" w:rsidRPr="003F2618">
        <w:t>held in various categories to take advantage of market pricing anomalies or strong market sectors.</w:t>
      </w:r>
    </w:p>
    <w:p w14:paraId="7630C878" w14:textId="4DF6594E" w:rsidR="00143D12" w:rsidRDefault="00143D12" w:rsidP="003F2618">
      <w:pPr>
        <w:jc w:val="both"/>
      </w:pPr>
      <w:r>
        <w:t>So, we can say: rebalancing is meant to maintain the percentages of assets held in your portfolio all the time, while TAA is meant to dynamically change the percentages of assets based on market circumstances.</w:t>
      </w:r>
    </w:p>
    <w:p w14:paraId="5E94CEA6" w14:textId="53922F8C" w:rsidR="0012423A" w:rsidRDefault="0012423A" w:rsidP="0012423A">
      <w:pPr>
        <w:pStyle w:val="Heading1"/>
      </w:pPr>
      <w:r>
        <w:lastRenderedPageBreak/>
        <w:t>Simulation Account</w:t>
      </w:r>
    </w:p>
    <w:p w14:paraId="7090B717" w14:textId="44478312" w:rsidR="0012423A" w:rsidRPr="0012423A" w:rsidRDefault="00283273" w:rsidP="00283273">
      <w:pPr>
        <w:jc w:val="both"/>
      </w:pPr>
      <w:r>
        <w:t xml:space="preserve">Most brokers offer a simulation account for you to try out their platform without real money. This simulation account is a good opportunity for you to try out different strategies with fake money before doing so with your hard-earned money. You can create a simulation/paper account on </w:t>
      </w:r>
      <w:proofErr w:type="spellStart"/>
      <w:r>
        <w:t>Interactivebrokers</w:t>
      </w:r>
      <w:proofErr w:type="spellEnd"/>
      <w:r>
        <w:t>.</w:t>
      </w:r>
    </w:p>
    <w:p w14:paraId="6706192F" w14:textId="71262AEE" w:rsidR="0012423A" w:rsidRDefault="0012423A" w:rsidP="0012423A">
      <w:pPr>
        <w:pStyle w:val="Heading1"/>
      </w:pPr>
      <w:r>
        <w:t>Investing vs Trading</w:t>
      </w:r>
    </w:p>
    <w:p w14:paraId="557459A3" w14:textId="3F7B215E" w:rsidR="0012423A" w:rsidRDefault="00DD62AB">
      <w:r>
        <w:t xml:space="preserve">This is the most important video of the whole </w:t>
      </w:r>
      <w:r w:rsidR="00A22A31">
        <w:t>course.</w:t>
      </w:r>
      <w:r>
        <w:t xml:space="preserve"> I suggest you go watch it again</w:t>
      </w:r>
      <w:r w:rsidR="00F52E9F">
        <w:t>!</w:t>
      </w:r>
    </w:p>
    <w:p w14:paraId="65FA5E94" w14:textId="71260F9F" w:rsidR="00FE6164" w:rsidRPr="00477143" w:rsidRDefault="00281373" w:rsidP="00477143">
      <w:pPr>
        <w:jc w:val="both"/>
        <w:rPr>
          <w:b/>
          <w:bCs/>
        </w:rPr>
      </w:pPr>
      <w:r w:rsidRPr="00281373">
        <w:rPr>
          <w:b/>
          <w:bCs/>
        </w:rPr>
        <w:t>Take-home note:</w:t>
      </w:r>
      <w:r>
        <w:rPr>
          <w:b/>
          <w:bCs/>
        </w:rPr>
        <w:t xml:space="preserve"> trading is for professionals only whose profession is trading. Since you are an Engineer not a trader, never ever trade, just invest!</w:t>
      </w:r>
    </w:p>
    <w:sectPr w:rsidR="00FE6164" w:rsidRPr="004771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3D4C85"/>
    <w:multiLevelType w:val="hybridMultilevel"/>
    <w:tmpl w:val="97AACB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9EC6B01"/>
    <w:multiLevelType w:val="hybridMultilevel"/>
    <w:tmpl w:val="2ECA73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C55666"/>
    <w:multiLevelType w:val="hybridMultilevel"/>
    <w:tmpl w:val="A08EF65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0517327"/>
    <w:multiLevelType w:val="hybridMultilevel"/>
    <w:tmpl w:val="B48E5254"/>
    <w:lvl w:ilvl="0" w:tplc="209EB1FC">
      <w:start w:val="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1824CF1"/>
    <w:multiLevelType w:val="hybridMultilevel"/>
    <w:tmpl w:val="121405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790051">
    <w:abstractNumId w:val="3"/>
  </w:num>
  <w:num w:numId="2" w16cid:durableId="334378428">
    <w:abstractNumId w:val="0"/>
  </w:num>
  <w:num w:numId="3" w16cid:durableId="1804494517">
    <w:abstractNumId w:val="4"/>
  </w:num>
  <w:num w:numId="4" w16cid:durableId="589506392">
    <w:abstractNumId w:val="1"/>
  </w:num>
  <w:num w:numId="5" w16cid:durableId="18737639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5C30"/>
    <w:rsid w:val="00006EEB"/>
    <w:rsid w:val="00014012"/>
    <w:rsid w:val="00041766"/>
    <w:rsid w:val="00085FF2"/>
    <w:rsid w:val="0011678B"/>
    <w:rsid w:val="0012106C"/>
    <w:rsid w:val="0012423A"/>
    <w:rsid w:val="00126831"/>
    <w:rsid w:val="00143D12"/>
    <w:rsid w:val="001A2CD8"/>
    <w:rsid w:val="001D21F6"/>
    <w:rsid w:val="001E20DB"/>
    <w:rsid w:val="001F6BB1"/>
    <w:rsid w:val="00201887"/>
    <w:rsid w:val="00261D10"/>
    <w:rsid w:val="0027082F"/>
    <w:rsid w:val="0028124A"/>
    <w:rsid w:val="00281373"/>
    <w:rsid w:val="00283273"/>
    <w:rsid w:val="002A5019"/>
    <w:rsid w:val="002E1270"/>
    <w:rsid w:val="002F49DB"/>
    <w:rsid w:val="003279FB"/>
    <w:rsid w:val="00335C30"/>
    <w:rsid w:val="00371D87"/>
    <w:rsid w:val="0039684F"/>
    <w:rsid w:val="003A2C6B"/>
    <w:rsid w:val="003E3B6D"/>
    <w:rsid w:val="003E6319"/>
    <w:rsid w:val="003F2618"/>
    <w:rsid w:val="00407174"/>
    <w:rsid w:val="00415B34"/>
    <w:rsid w:val="00417761"/>
    <w:rsid w:val="00423829"/>
    <w:rsid w:val="004421E6"/>
    <w:rsid w:val="00451CC4"/>
    <w:rsid w:val="00477143"/>
    <w:rsid w:val="004A578F"/>
    <w:rsid w:val="004B585C"/>
    <w:rsid w:val="004B7968"/>
    <w:rsid w:val="004C2602"/>
    <w:rsid w:val="0050026A"/>
    <w:rsid w:val="00503AE0"/>
    <w:rsid w:val="005115C3"/>
    <w:rsid w:val="005309AA"/>
    <w:rsid w:val="00556697"/>
    <w:rsid w:val="00562435"/>
    <w:rsid w:val="005654B6"/>
    <w:rsid w:val="00595697"/>
    <w:rsid w:val="005C5252"/>
    <w:rsid w:val="005C7E3D"/>
    <w:rsid w:val="005D3A30"/>
    <w:rsid w:val="005E25FA"/>
    <w:rsid w:val="00620875"/>
    <w:rsid w:val="006854F1"/>
    <w:rsid w:val="007715C0"/>
    <w:rsid w:val="00776632"/>
    <w:rsid w:val="00787E09"/>
    <w:rsid w:val="007D5E52"/>
    <w:rsid w:val="007E786E"/>
    <w:rsid w:val="007F2DC9"/>
    <w:rsid w:val="008029A1"/>
    <w:rsid w:val="008061F5"/>
    <w:rsid w:val="00814E81"/>
    <w:rsid w:val="00835AB8"/>
    <w:rsid w:val="008415AB"/>
    <w:rsid w:val="0084251F"/>
    <w:rsid w:val="00846F59"/>
    <w:rsid w:val="00854535"/>
    <w:rsid w:val="008930D3"/>
    <w:rsid w:val="008E73D1"/>
    <w:rsid w:val="008F42B7"/>
    <w:rsid w:val="00903E98"/>
    <w:rsid w:val="00935422"/>
    <w:rsid w:val="00941EA7"/>
    <w:rsid w:val="00942F04"/>
    <w:rsid w:val="00971464"/>
    <w:rsid w:val="009778BC"/>
    <w:rsid w:val="009814A6"/>
    <w:rsid w:val="00A119E7"/>
    <w:rsid w:val="00A22A31"/>
    <w:rsid w:val="00A80F8D"/>
    <w:rsid w:val="00A83870"/>
    <w:rsid w:val="00A91F7C"/>
    <w:rsid w:val="00B3618E"/>
    <w:rsid w:val="00B5739D"/>
    <w:rsid w:val="00B71F73"/>
    <w:rsid w:val="00B97798"/>
    <w:rsid w:val="00BB6213"/>
    <w:rsid w:val="00BC3DA4"/>
    <w:rsid w:val="00CC4698"/>
    <w:rsid w:val="00D03B88"/>
    <w:rsid w:val="00D06C52"/>
    <w:rsid w:val="00D0781C"/>
    <w:rsid w:val="00D33CFE"/>
    <w:rsid w:val="00D4467E"/>
    <w:rsid w:val="00D464E5"/>
    <w:rsid w:val="00D861D4"/>
    <w:rsid w:val="00DA45F1"/>
    <w:rsid w:val="00DB2F04"/>
    <w:rsid w:val="00DD62AB"/>
    <w:rsid w:val="00E52642"/>
    <w:rsid w:val="00E755C1"/>
    <w:rsid w:val="00E81A38"/>
    <w:rsid w:val="00EB78A7"/>
    <w:rsid w:val="00EC19E3"/>
    <w:rsid w:val="00EC5088"/>
    <w:rsid w:val="00ED106D"/>
    <w:rsid w:val="00ED2396"/>
    <w:rsid w:val="00EE0BFE"/>
    <w:rsid w:val="00EE6B8D"/>
    <w:rsid w:val="00F52E9F"/>
    <w:rsid w:val="00FE61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F5D68"/>
  <w15:chartTrackingRefBased/>
  <w15:docId w15:val="{44A40D09-4F60-4025-9A37-CD975A8108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6697"/>
  </w:style>
  <w:style w:type="paragraph" w:styleId="Heading1">
    <w:name w:val="heading 1"/>
    <w:basedOn w:val="Normal"/>
    <w:next w:val="Normal"/>
    <w:link w:val="Heading1Char"/>
    <w:uiPriority w:val="9"/>
    <w:qFormat/>
    <w:rsid w:val="0012423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423A"/>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7D5E52"/>
    <w:rPr>
      <w:color w:val="0563C1" w:themeColor="hyperlink"/>
      <w:u w:val="single"/>
    </w:rPr>
  </w:style>
  <w:style w:type="character" w:styleId="UnresolvedMention">
    <w:name w:val="Unresolved Mention"/>
    <w:basedOn w:val="DefaultParagraphFont"/>
    <w:uiPriority w:val="99"/>
    <w:semiHidden/>
    <w:unhideWhenUsed/>
    <w:rsid w:val="007D5E52"/>
    <w:rPr>
      <w:color w:val="605E5C"/>
      <w:shd w:val="clear" w:color="auto" w:fill="E1DFDD"/>
    </w:rPr>
  </w:style>
  <w:style w:type="paragraph" w:styleId="ListParagraph">
    <w:name w:val="List Paragraph"/>
    <w:basedOn w:val="Normal"/>
    <w:uiPriority w:val="34"/>
    <w:qFormat/>
    <w:rsid w:val="00595697"/>
    <w:pPr>
      <w:ind w:left="720"/>
      <w:contextualSpacing/>
    </w:pPr>
  </w:style>
  <w:style w:type="character" w:styleId="FollowedHyperlink">
    <w:name w:val="FollowedHyperlink"/>
    <w:basedOn w:val="DefaultParagraphFont"/>
    <w:uiPriority w:val="99"/>
    <w:semiHidden/>
    <w:unhideWhenUsed/>
    <w:rsid w:val="007715C0"/>
    <w:rPr>
      <w:color w:val="954F72" w:themeColor="followedHyperlink"/>
      <w:u w:val="single"/>
    </w:rPr>
  </w:style>
  <w:style w:type="table" w:styleId="TableGrid">
    <w:name w:val="Table Grid"/>
    <w:basedOn w:val="TableNormal"/>
    <w:uiPriority w:val="39"/>
    <w:rsid w:val="005C7E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5">
    <w:name w:val="Grid Table 1 Light Accent 5"/>
    <w:basedOn w:val="TableNormal"/>
    <w:uiPriority w:val="46"/>
    <w:rsid w:val="005C7E3D"/>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7140837">
      <w:bodyDiv w:val="1"/>
      <w:marLeft w:val="0"/>
      <w:marRight w:val="0"/>
      <w:marTop w:val="0"/>
      <w:marBottom w:val="0"/>
      <w:divBdr>
        <w:top w:val="none" w:sz="0" w:space="0" w:color="auto"/>
        <w:left w:val="none" w:sz="0" w:space="0" w:color="auto"/>
        <w:bottom w:val="none" w:sz="0" w:space="0" w:color="auto"/>
        <w:right w:val="none" w:sz="0" w:space="0" w:color="auto"/>
      </w:divBdr>
    </w:div>
    <w:div w:id="1080522639">
      <w:bodyDiv w:val="1"/>
      <w:marLeft w:val="0"/>
      <w:marRight w:val="0"/>
      <w:marTop w:val="0"/>
      <w:marBottom w:val="0"/>
      <w:divBdr>
        <w:top w:val="none" w:sz="0" w:space="0" w:color="auto"/>
        <w:left w:val="none" w:sz="0" w:space="0" w:color="auto"/>
        <w:bottom w:val="none" w:sz="0" w:space="0" w:color="auto"/>
        <w:right w:val="none" w:sz="0" w:space="0" w:color="auto"/>
      </w:divBdr>
    </w:div>
    <w:div w:id="1435594366">
      <w:bodyDiv w:val="1"/>
      <w:marLeft w:val="0"/>
      <w:marRight w:val="0"/>
      <w:marTop w:val="0"/>
      <w:marBottom w:val="0"/>
      <w:divBdr>
        <w:top w:val="none" w:sz="0" w:space="0" w:color="auto"/>
        <w:left w:val="none" w:sz="0" w:space="0" w:color="auto"/>
        <w:bottom w:val="none" w:sz="0" w:space="0" w:color="auto"/>
        <w:right w:val="none" w:sz="0" w:space="0" w:color="auto"/>
      </w:divBdr>
    </w:div>
    <w:div w:id="1933050956">
      <w:bodyDiv w:val="1"/>
      <w:marLeft w:val="0"/>
      <w:marRight w:val="0"/>
      <w:marTop w:val="0"/>
      <w:marBottom w:val="0"/>
      <w:divBdr>
        <w:top w:val="none" w:sz="0" w:space="0" w:color="auto"/>
        <w:left w:val="none" w:sz="0" w:space="0" w:color="auto"/>
        <w:bottom w:val="none" w:sz="0" w:space="0" w:color="auto"/>
        <w:right w:val="none" w:sz="0" w:space="0" w:color="auto"/>
      </w:divBdr>
    </w:div>
    <w:div w:id="2003392720">
      <w:bodyDiv w:val="1"/>
      <w:marLeft w:val="0"/>
      <w:marRight w:val="0"/>
      <w:marTop w:val="0"/>
      <w:marBottom w:val="0"/>
      <w:divBdr>
        <w:top w:val="none" w:sz="0" w:space="0" w:color="auto"/>
        <w:left w:val="none" w:sz="0" w:space="0" w:color="auto"/>
        <w:bottom w:val="none" w:sz="0" w:space="0" w:color="auto"/>
        <w:right w:val="none" w:sz="0" w:space="0" w:color="auto"/>
      </w:divBdr>
    </w:div>
    <w:div w:id="20193853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m.e-m-h.org/ClJM.pdf" TargetMode="External"/><Relationship Id="rId13" Type="http://schemas.openxmlformats.org/officeDocument/2006/relationships/hyperlink" Target="https://www.youtube.com/watch?v=V0m8r2Ft7kY" TargetMode="External"/><Relationship Id="rId18" Type="http://schemas.openxmlformats.org/officeDocument/2006/relationships/hyperlink" Target="https://www.wsj.com/" TargetMode="External"/><Relationship Id="rId3" Type="http://schemas.openxmlformats.org/officeDocument/2006/relationships/settings" Target="settings.xml"/><Relationship Id="rId21" Type="http://schemas.openxmlformats.org/officeDocument/2006/relationships/image" Target="media/image5.png"/><Relationship Id="rId7" Type="http://schemas.openxmlformats.org/officeDocument/2006/relationships/hyperlink" Target="https://www.cnbc.com/2019/03/15/active-fund-managers-trail-the-sp-500-for-the-ninth-year-in-a-row-in-triumph-for-indexing.html" TargetMode="External"/><Relationship Id="rId12" Type="http://schemas.openxmlformats.org/officeDocument/2006/relationships/hyperlink" Target="https://www.youtube.com/watch?v=vLTdlN7VJTM" TargetMode="External"/><Relationship Id="rId17" Type="http://schemas.openxmlformats.org/officeDocument/2006/relationships/hyperlink" Target="https://www.nytimes.com/"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hyperlink" Target="https://www.morningstar.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dollaraveragecalculator.com/dollar-cost-averaging-frequency-daily-weekly-monthly/" TargetMode="External"/><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hyperlink" Target="https://static.twentyoverten.com/5980d16bbfb1c93238ad9c24/rJpQmY8o7/Dollar-Cost-Averaging-Just-Means-Taking-Risk-Later-Vanguard.pdf" TargetMode="External"/><Relationship Id="rId23" Type="http://schemas.openxmlformats.org/officeDocument/2006/relationships/image" Target="media/image7.jpeg"/><Relationship Id="rId10" Type="http://schemas.openxmlformats.org/officeDocument/2006/relationships/hyperlink" Target="https://www.bitcoin.com/get-started/dollar-cost-averaging/" TargetMode="External"/><Relationship Id="rId19" Type="http://schemas.openxmlformats.org/officeDocument/2006/relationships/hyperlink" Target="https://www.bloomberg.co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yperlink" Target="https://money.stackexchange.com/questions/14847/dollar-cost-averaging-how-often-should-one-use-it-what-criteria-to-use-when-ch" TargetMode="External"/><Relationship Id="rId22"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1901</TotalTime>
  <Pages>8</Pages>
  <Words>2384</Words>
  <Characters>13593</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Fahmy, Omar</dc:creator>
  <cp:keywords/>
  <dc:description/>
  <cp:lastModifiedBy>Fahmy, Omar</cp:lastModifiedBy>
  <cp:revision>98</cp:revision>
  <dcterms:created xsi:type="dcterms:W3CDTF">2024-03-01T19:24:00Z</dcterms:created>
  <dcterms:modified xsi:type="dcterms:W3CDTF">2024-03-18T20:11:00Z</dcterms:modified>
</cp:coreProperties>
</file>