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4A" w:rsidRPr="00CA1C4C" w:rsidRDefault="0071744A" w:rsidP="0071744A">
      <w:pPr>
        <w:pStyle w:val="Heading1"/>
        <w:bidi w:val="0"/>
        <w:jc w:val="center"/>
        <w:rPr>
          <w:rFonts w:ascii="Britannic Bold" w:hAnsi="Britannic Bold"/>
          <w:b/>
          <w:bCs/>
          <w:color w:val="000000" w:themeColor="text1"/>
          <w:sz w:val="52"/>
          <w:szCs w:val="52"/>
        </w:rPr>
      </w:pPr>
      <w:r w:rsidRPr="00CA1C4C">
        <w:rPr>
          <w:rFonts w:ascii="Britannic Bold" w:hAnsi="Britannic Bold"/>
          <w:b/>
          <w:bCs/>
          <w:color w:val="000000" w:themeColor="text1"/>
          <w:sz w:val="52"/>
          <w:szCs w:val="52"/>
          <w:highlight w:val="lightGray"/>
        </w:rPr>
        <w:t>Conclusive Report on Sales and Profitability for Omar Group</w:t>
      </w:r>
    </w:p>
    <w:p w:rsidR="0071744A" w:rsidRPr="00CA1C4C" w:rsidRDefault="0071744A" w:rsidP="0071744A">
      <w:pPr>
        <w:pStyle w:val="Heading2"/>
        <w:bidi w:val="0"/>
        <w:rPr>
          <w:b/>
          <w:bCs/>
          <w:sz w:val="32"/>
          <w:szCs w:val="32"/>
        </w:rPr>
      </w:pPr>
      <w:r w:rsidRPr="00CA1C4C">
        <w:rPr>
          <w:b/>
          <w:bCs/>
          <w:sz w:val="32"/>
          <w:szCs w:val="32"/>
        </w:rPr>
        <w:t>Executive Summary</w:t>
      </w:r>
    </w:p>
    <w:p w:rsidR="0071744A" w:rsidRPr="00CA1C4C" w:rsidRDefault="0071744A" w:rsidP="00CA1C4C">
      <w:pPr>
        <w:pStyle w:val="NormalWeb"/>
        <w:rPr>
          <w:b/>
          <w:bCs/>
        </w:rPr>
      </w:pPr>
      <w:r w:rsidRPr="00CA1C4C">
        <w:rPr>
          <w:b/>
          <w:bCs/>
        </w:rPr>
        <w:t>This report provides a comprehensive analysis of the sales and profitability metrics for the Omar Group</w:t>
      </w:r>
      <w:r w:rsidR="00CA1C4C">
        <w:rPr>
          <w:b/>
          <w:bCs/>
        </w:rPr>
        <w:t xml:space="preserve">, </w:t>
      </w:r>
      <w:bookmarkStart w:id="0" w:name="_GoBack"/>
      <w:bookmarkEnd w:id="0"/>
      <w:r w:rsidRPr="00CA1C4C">
        <w:rPr>
          <w:b/>
          <w:bCs/>
        </w:rPr>
        <w:t>The analysis covers total sales, revenue, cost of goods sold (COGS), gross profit, net profit, and gross margin percentages. Additionally, it explores product performance, customer contributions, sales by territory, and overall profitability.</w:t>
      </w:r>
    </w:p>
    <w:p w:rsidR="0071744A" w:rsidRDefault="0071744A" w:rsidP="0071744A">
      <w:pPr>
        <w:pStyle w:val="Heading2"/>
        <w:bidi w:val="0"/>
      </w:pPr>
      <w:r>
        <w:t>Key Findings</w:t>
      </w:r>
    </w:p>
    <w:p w:rsidR="0071744A" w:rsidRDefault="0071744A" w:rsidP="0071744A">
      <w:pPr>
        <w:pStyle w:val="Heading3"/>
      </w:pPr>
      <w:r>
        <w:t xml:space="preserve">1. </w:t>
      </w:r>
      <w:r>
        <w:rPr>
          <w:rStyle w:val="Strong"/>
          <w:b/>
          <w:bCs/>
        </w:rPr>
        <w:t>Overall Sales Performance</w:t>
      </w:r>
    </w:p>
    <w:p w:rsidR="0071744A" w:rsidRDefault="0071744A" w:rsidP="0071744A">
      <w:pPr>
        <w:numPr>
          <w:ilvl w:val="0"/>
          <w:numId w:val="14"/>
        </w:numPr>
        <w:bidi w:val="0"/>
        <w:spacing w:before="100" w:beforeAutospacing="1" w:after="100" w:afterAutospacing="1" w:line="240" w:lineRule="auto"/>
      </w:pPr>
      <w:r>
        <w:rPr>
          <w:rStyle w:val="Strong"/>
        </w:rPr>
        <w:t>Total Sales</w:t>
      </w:r>
      <w:r>
        <w:t xml:space="preserve">: The Omar Group generated total sales of </w:t>
      </w:r>
      <w:r>
        <w:rPr>
          <w:rStyle w:val="Strong"/>
        </w:rPr>
        <w:t>85,866 units</w:t>
      </w:r>
      <w:r>
        <w:t>.</w:t>
      </w:r>
    </w:p>
    <w:p w:rsidR="0071744A" w:rsidRDefault="0071744A" w:rsidP="0071744A">
      <w:pPr>
        <w:numPr>
          <w:ilvl w:val="0"/>
          <w:numId w:val="14"/>
        </w:numPr>
        <w:bidi w:val="0"/>
        <w:spacing w:before="100" w:beforeAutospacing="1" w:after="100" w:afterAutospacing="1" w:line="240" w:lineRule="auto"/>
      </w:pPr>
      <w:r>
        <w:rPr>
          <w:rStyle w:val="Strong"/>
        </w:rPr>
        <w:t>Total Revenue</w:t>
      </w:r>
      <w:r>
        <w:t xml:space="preserve">: The total revenue for the reported period is </w:t>
      </w:r>
      <w:r>
        <w:rPr>
          <w:rStyle w:val="Strong"/>
        </w:rPr>
        <w:t>$30,086,494</w:t>
      </w:r>
      <w:r>
        <w:t>.</w:t>
      </w:r>
    </w:p>
    <w:p w:rsidR="0071744A" w:rsidRDefault="0071744A" w:rsidP="0071744A">
      <w:pPr>
        <w:numPr>
          <w:ilvl w:val="0"/>
          <w:numId w:val="14"/>
        </w:numPr>
        <w:bidi w:val="0"/>
        <w:spacing w:before="100" w:beforeAutospacing="1" w:after="100" w:afterAutospacing="1" w:line="240" w:lineRule="auto"/>
      </w:pPr>
      <w:r>
        <w:rPr>
          <w:rStyle w:val="Strong"/>
        </w:rPr>
        <w:t>Cost of Goods Sold (COGS)</w:t>
      </w:r>
      <w:r>
        <w:t xml:space="preserve">: The COGS amounts to </w:t>
      </w:r>
      <w:r>
        <w:rPr>
          <w:rStyle w:val="Strong"/>
        </w:rPr>
        <w:t>$18,051,896</w:t>
      </w:r>
      <w:r>
        <w:t xml:space="preserve">, leading to a gross profit of </w:t>
      </w:r>
      <w:r>
        <w:rPr>
          <w:rStyle w:val="Strong"/>
        </w:rPr>
        <w:t>$12,034,597</w:t>
      </w:r>
      <w:r>
        <w:t>.</w:t>
      </w:r>
    </w:p>
    <w:p w:rsidR="0071744A" w:rsidRDefault="0071744A" w:rsidP="0071744A">
      <w:pPr>
        <w:numPr>
          <w:ilvl w:val="0"/>
          <w:numId w:val="14"/>
        </w:numPr>
        <w:bidi w:val="0"/>
        <w:spacing w:before="100" w:beforeAutospacing="1" w:after="100" w:afterAutospacing="1" w:line="240" w:lineRule="auto"/>
      </w:pPr>
      <w:r>
        <w:rPr>
          <w:rStyle w:val="Strong"/>
        </w:rPr>
        <w:t>Net Profit</w:t>
      </w:r>
      <w:r>
        <w:t xml:space="preserve">: The net profit recorded is </w:t>
      </w:r>
      <w:r>
        <w:rPr>
          <w:rStyle w:val="Strong"/>
        </w:rPr>
        <w:t>$8,187,533</w:t>
      </w:r>
      <w:r>
        <w:t>.</w:t>
      </w:r>
    </w:p>
    <w:p w:rsidR="0071744A" w:rsidRDefault="0071744A" w:rsidP="0071744A">
      <w:pPr>
        <w:numPr>
          <w:ilvl w:val="0"/>
          <w:numId w:val="14"/>
        </w:numPr>
        <w:bidi w:val="0"/>
        <w:spacing w:before="100" w:beforeAutospacing="1" w:after="100" w:afterAutospacing="1" w:line="240" w:lineRule="auto"/>
      </w:pPr>
      <w:r>
        <w:rPr>
          <w:rStyle w:val="Strong"/>
        </w:rPr>
        <w:t>Gross Margin</w:t>
      </w:r>
      <w:r>
        <w:t xml:space="preserve">: The gross margin stands at </w:t>
      </w:r>
      <w:r>
        <w:rPr>
          <w:rStyle w:val="Strong"/>
        </w:rPr>
        <w:t>40%</w:t>
      </w:r>
      <w:r>
        <w:t>, indicating a healthy profitability level for the company.</w:t>
      </w:r>
    </w:p>
    <w:p w:rsidR="0071744A" w:rsidRDefault="0071744A" w:rsidP="0071744A">
      <w:pPr>
        <w:pStyle w:val="Heading3"/>
      </w:pPr>
      <w:r>
        <w:t xml:space="preserve">2. </w:t>
      </w:r>
      <w:r>
        <w:rPr>
          <w:rStyle w:val="Strong"/>
          <w:b/>
          <w:bCs/>
        </w:rPr>
        <w:t>Sales Trends</w:t>
      </w:r>
    </w:p>
    <w:p w:rsidR="0071744A" w:rsidRDefault="0071744A" w:rsidP="0071744A">
      <w:pPr>
        <w:numPr>
          <w:ilvl w:val="0"/>
          <w:numId w:val="15"/>
        </w:numPr>
        <w:bidi w:val="0"/>
        <w:spacing w:before="100" w:beforeAutospacing="1" w:after="100" w:afterAutospacing="1" w:line="240" w:lineRule="auto"/>
      </w:pPr>
      <w:r>
        <w:rPr>
          <w:rStyle w:val="Strong"/>
        </w:rPr>
        <w:t>Annual Revenue Breakdown</w:t>
      </w:r>
      <w:r>
        <w:t xml:space="preserve">: </w:t>
      </w:r>
    </w:p>
    <w:p w:rsidR="0071744A" w:rsidRDefault="0071744A" w:rsidP="0071744A">
      <w:pPr>
        <w:numPr>
          <w:ilvl w:val="1"/>
          <w:numId w:val="15"/>
        </w:numPr>
        <w:bidi w:val="0"/>
        <w:spacing w:before="100" w:beforeAutospacing="1" w:after="100" w:afterAutospacing="1" w:line="240" w:lineRule="auto"/>
      </w:pPr>
      <w:r>
        <w:rPr>
          <w:rStyle w:val="Strong"/>
        </w:rPr>
        <w:t>2011</w:t>
      </w:r>
      <w:r>
        <w:t>: $1,774,995</w:t>
      </w:r>
    </w:p>
    <w:p w:rsidR="0071744A" w:rsidRDefault="0071744A" w:rsidP="0071744A">
      <w:pPr>
        <w:numPr>
          <w:ilvl w:val="1"/>
          <w:numId w:val="15"/>
        </w:numPr>
        <w:bidi w:val="0"/>
        <w:spacing w:before="100" w:beforeAutospacing="1" w:after="100" w:afterAutospacing="1" w:line="240" w:lineRule="auto"/>
      </w:pPr>
      <w:r>
        <w:rPr>
          <w:rStyle w:val="Strong"/>
        </w:rPr>
        <w:t>2012</w:t>
      </w:r>
      <w:r>
        <w:t>: $7,692,024 (333.35% growth compared to 2011)</w:t>
      </w:r>
    </w:p>
    <w:p w:rsidR="0071744A" w:rsidRDefault="0071744A" w:rsidP="0071744A">
      <w:pPr>
        <w:numPr>
          <w:ilvl w:val="1"/>
          <w:numId w:val="15"/>
        </w:numPr>
        <w:bidi w:val="0"/>
        <w:spacing w:before="100" w:beforeAutospacing="1" w:after="100" w:afterAutospacing="1" w:line="240" w:lineRule="auto"/>
      </w:pPr>
      <w:r>
        <w:rPr>
          <w:rStyle w:val="Strong"/>
        </w:rPr>
        <w:t>2013</w:t>
      </w:r>
      <w:r>
        <w:t>: $14,209,474 (84.73% growth compared to 2012)</w:t>
      </w:r>
    </w:p>
    <w:p w:rsidR="0071744A" w:rsidRDefault="0071744A" w:rsidP="0071744A">
      <w:pPr>
        <w:numPr>
          <w:ilvl w:val="1"/>
          <w:numId w:val="15"/>
        </w:numPr>
        <w:bidi w:val="0"/>
        <w:spacing w:before="100" w:beforeAutospacing="1" w:after="100" w:afterAutospacing="1" w:line="240" w:lineRule="auto"/>
      </w:pPr>
      <w:r>
        <w:rPr>
          <w:rStyle w:val="Strong"/>
        </w:rPr>
        <w:t>2014</w:t>
      </w:r>
      <w:r>
        <w:t>: $6,410,000 (-54.89% decline compared to 2013)</w:t>
      </w:r>
    </w:p>
    <w:p w:rsidR="0071744A" w:rsidRDefault="0071744A" w:rsidP="0071744A">
      <w:pPr>
        <w:bidi w:val="0"/>
        <w:spacing w:beforeAutospacing="1" w:after="0" w:afterAutospacing="1"/>
        <w:ind w:left="720"/>
      </w:pPr>
      <w:r>
        <w:t>The sales growth trend indicates a significant rise in sales from 2011 to 2013, followed by a decline in 2014. This fluctuation requires further investigation to identify underlying causes.</w:t>
      </w:r>
    </w:p>
    <w:p w:rsidR="0071744A" w:rsidRDefault="0071744A" w:rsidP="0071744A">
      <w:pPr>
        <w:pStyle w:val="Heading3"/>
      </w:pPr>
      <w:r>
        <w:t xml:space="preserve">3. </w:t>
      </w:r>
      <w:r>
        <w:rPr>
          <w:rStyle w:val="Strong"/>
          <w:b/>
          <w:bCs/>
        </w:rPr>
        <w:t>Product Performance</w:t>
      </w:r>
    </w:p>
    <w:p w:rsidR="0071744A" w:rsidRDefault="0071744A" w:rsidP="0071744A">
      <w:pPr>
        <w:pStyle w:val="NormalWeb"/>
        <w:numPr>
          <w:ilvl w:val="0"/>
          <w:numId w:val="16"/>
        </w:numPr>
      </w:pPr>
      <w:r>
        <w:t>The top-performing products by total revenue are:</w:t>
      </w:r>
    </w:p>
    <w:p w:rsidR="0071744A" w:rsidRDefault="0071744A" w:rsidP="0071744A">
      <w:pPr>
        <w:numPr>
          <w:ilvl w:val="1"/>
          <w:numId w:val="16"/>
        </w:numPr>
        <w:bidi w:val="0"/>
        <w:spacing w:before="100" w:beforeAutospacing="1" w:after="100" w:afterAutospacing="1" w:line="240" w:lineRule="auto"/>
      </w:pPr>
      <w:r>
        <w:rPr>
          <w:rStyle w:val="Strong"/>
        </w:rPr>
        <w:t>Mountain-200 Black, 38</w:t>
      </w:r>
      <w:r>
        <w:t>: $1,361,998</w:t>
      </w:r>
    </w:p>
    <w:p w:rsidR="0071744A" w:rsidRDefault="0071744A" w:rsidP="0071744A">
      <w:pPr>
        <w:numPr>
          <w:ilvl w:val="1"/>
          <w:numId w:val="16"/>
        </w:numPr>
        <w:bidi w:val="0"/>
        <w:spacing w:before="100" w:beforeAutospacing="1" w:after="100" w:afterAutospacing="1" w:line="240" w:lineRule="auto"/>
      </w:pPr>
      <w:r>
        <w:rPr>
          <w:rStyle w:val="Strong"/>
        </w:rPr>
        <w:t>Mountain-200 Black, 42</w:t>
      </w:r>
      <w:r>
        <w:t>: $1,075,038</w:t>
      </w:r>
    </w:p>
    <w:p w:rsidR="0071744A" w:rsidRDefault="0071744A" w:rsidP="0071744A">
      <w:pPr>
        <w:numPr>
          <w:ilvl w:val="1"/>
          <w:numId w:val="16"/>
        </w:numPr>
        <w:bidi w:val="0"/>
        <w:spacing w:before="100" w:beforeAutospacing="1" w:after="100" w:afterAutospacing="1" w:line="240" w:lineRule="auto"/>
      </w:pPr>
      <w:r>
        <w:rPr>
          <w:rStyle w:val="Strong"/>
        </w:rPr>
        <w:t>Mountain-200 Silver, 38</w:t>
      </w:r>
      <w:r>
        <w:t>: $913,331</w:t>
      </w:r>
    </w:p>
    <w:p w:rsidR="0071744A" w:rsidRDefault="0071744A" w:rsidP="0071744A">
      <w:pPr>
        <w:numPr>
          <w:ilvl w:val="1"/>
          <w:numId w:val="16"/>
        </w:numPr>
        <w:bidi w:val="0"/>
        <w:spacing w:before="100" w:beforeAutospacing="1" w:after="100" w:afterAutospacing="1" w:line="240" w:lineRule="auto"/>
      </w:pPr>
      <w:r>
        <w:rPr>
          <w:rStyle w:val="Strong"/>
        </w:rPr>
        <w:t>Mountain-200 Silver, 42</w:t>
      </w:r>
      <w:r>
        <w:t>: $856,196</w:t>
      </w:r>
    </w:p>
    <w:p w:rsidR="0071744A" w:rsidRDefault="0071744A" w:rsidP="0071744A">
      <w:pPr>
        <w:pStyle w:val="NormalWeb"/>
        <w:ind w:left="720"/>
      </w:pPr>
      <w:r>
        <w:t xml:space="preserve">The Grand Total revenue from these products is </w:t>
      </w:r>
      <w:r>
        <w:rPr>
          <w:rStyle w:val="Strong"/>
        </w:rPr>
        <w:t>$8,673,300</w:t>
      </w:r>
      <w:r>
        <w:t>, highlighting the Mountain-200 series as a key revenue driver.</w:t>
      </w:r>
    </w:p>
    <w:p w:rsidR="0071744A" w:rsidRDefault="0071744A" w:rsidP="0071744A">
      <w:pPr>
        <w:pStyle w:val="Heading3"/>
      </w:pPr>
      <w:r>
        <w:lastRenderedPageBreak/>
        <w:t xml:space="preserve">4. </w:t>
      </w:r>
      <w:r>
        <w:rPr>
          <w:rStyle w:val="Strong"/>
          <w:b/>
          <w:bCs/>
        </w:rPr>
        <w:t>Customer Contributions</w:t>
      </w:r>
    </w:p>
    <w:p w:rsidR="0071744A" w:rsidRDefault="0071744A" w:rsidP="0071744A">
      <w:pPr>
        <w:pStyle w:val="NormalWeb"/>
        <w:numPr>
          <w:ilvl w:val="0"/>
          <w:numId w:val="17"/>
        </w:numPr>
      </w:pPr>
      <w:r>
        <w:t>The top customers by sales volume are:</w:t>
      </w:r>
    </w:p>
    <w:p w:rsidR="0071744A" w:rsidRDefault="0071744A" w:rsidP="0071744A">
      <w:pPr>
        <w:numPr>
          <w:ilvl w:val="1"/>
          <w:numId w:val="17"/>
        </w:numPr>
        <w:bidi w:val="0"/>
        <w:spacing w:before="100" w:beforeAutospacing="1" w:after="100" w:afterAutospacing="1" w:line="240" w:lineRule="auto"/>
      </w:pPr>
      <w:r>
        <w:rPr>
          <w:rStyle w:val="Strong"/>
        </w:rPr>
        <w:t>Customer ID 30048</w:t>
      </w:r>
      <w:r>
        <w:t>: 2,350 units</w:t>
      </w:r>
    </w:p>
    <w:p w:rsidR="0071744A" w:rsidRDefault="0071744A" w:rsidP="0071744A">
      <w:pPr>
        <w:numPr>
          <w:ilvl w:val="1"/>
          <w:numId w:val="17"/>
        </w:numPr>
        <w:bidi w:val="0"/>
        <w:spacing w:before="100" w:beforeAutospacing="1" w:after="100" w:afterAutospacing="1" w:line="240" w:lineRule="auto"/>
      </w:pPr>
      <w:r>
        <w:rPr>
          <w:rStyle w:val="Strong"/>
        </w:rPr>
        <w:t>Customer ID 29712</w:t>
      </w:r>
      <w:r>
        <w:t>: 2,313 units</w:t>
      </w:r>
    </w:p>
    <w:p w:rsidR="0071744A" w:rsidRDefault="0071744A" w:rsidP="0071744A">
      <w:pPr>
        <w:numPr>
          <w:ilvl w:val="1"/>
          <w:numId w:val="17"/>
        </w:numPr>
        <w:bidi w:val="0"/>
        <w:spacing w:before="100" w:beforeAutospacing="1" w:after="100" w:afterAutospacing="1" w:line="240" w:lineRule="auto"/>
      </w:pPr>
      <w:r>
        <w:rPr>
          <w:rStyle w:val="Strong"/>
        </w:rPr>
        <w:t>Customer ID 29722</w:t>
      </w:r>
      <w:r>
        <w:t>: 2,172 units</w:t>
      </w:r>
    </w:p>
    <w:p w:rsidR="0071744A" w:rsidRDefault="0071744A" w:rsidP="0071744A">
      <w:pPr>
        <w:pStyle w:val="NormalWeb"/>
        <w:ind w:left="720"/>
      </w:pPr>
      <w:r>
        <w:t>These top customers together contributed significantly to the sales volume, indicating potential areas for enhanced customer relationship management and engagement.</w:t>
      </w:r>
    </w:p>
    <w:p w:rsidR="0071744A" w:rsidRDefault="0071744A" w:rsidP="0071744A">
      <w:pPr>
        <w:pStyle w:val="Heading3"/>
      </w:pPr>
      <w:r>
        <w:t xml:space="preserve">5. </w:t>
      </w:r>
      <w:r>
        <w:rPr>
          <w:rStyle w:val="Strong"/>
          <w:b/>
          <w:bCs/>
        </w:rPr>
        <w:t>Sales by Territory</w:t>
      </w:r>
    </w:p>
    <w:p w:rsidR="0071744A" w:rsidRDefault="0071744A" w:rsidP="0071744A">
      <w:pPr>
        <w:pStyle w:val="NormalWeb"/>
        <w:numPr>
          <w:ilvl w:val="0"/>
          <w:numId w:val="18"/>
        </w:numPr>
      </w:pPr>
      <w:r>
        <w:t>The sales distribution across territories is as follows:</w:t>
      </w:r>
    </w:p>
    <w:p w:rsidR="0071744A" w:rsidRDefault="0071744A" w:rsidP="0071744A">
      <w:pPr>
        <w:numPr>
          <w:ilvl w:val="1"/>
          <w:numId w:val="18"/>
        </w:numPr>
        <w:bidi w:val="0"/>
        <w:spacing w:before="100" w:beforeAutospacing="1" w:after="100" w:afterAutospacing="1" w:line="240" w:lineRule="auto"/>
      </w:pPr>
      <w:r>
        <w:rPr>
          <w:rStyle w:val="Strong"/>
        </w:rPr>
        <w:t>North America</w:t>
      </w:r>
      <w:r>
        <w:t>: 45,859 units</w:t>
      </w:r>
    </w:p>
    <w:p w:rsidR="0071744A" w:rsidRDefault="0071744A" w:rsidP="0071744A">
      <w:pPr>
        <w:numPr>
          <w:ilvl w:val="1"/>
          <w:numId w:val="18"/>
        </w:numPr>
        <w:bidi w:val="0"/>
        <w:spacing w:before="100" w:beforeAutospacing="1" w:after="100" w:afterAutospacing="1" w:line="240" w:lineRule="auto"/>
      </w:pPr>
      <w:r>
        <w:rPr>
          <w:rStyle w:val="Strong"/>
        </w:rPr>
        <w:t>Europe</w:t>
      </w:r>
      <w:r>
        <w:t>: 35,059 units</w:t>
      </w:r>
    </w:p>
    <w:p w:rsidR="0071744A" w:rsidRDefault="0071744A" w:rsidP="0071744A">
      <w:pPr>
        <w:numPr>
          <w:ilvl w:val="1"/>
          <w:numId w:val="18"/>
        </w:numPr>
        <w:bidi w:val="0"/>
        <w:spacing w:before="100" w:beforeAutospacing="1" w:after="100" w:afterAutospacing="1" w:line="240" w:lineRule="auto"/>
      </w:pPr>
      <w:r>
        <w:rPr>
          <w:rStyle w:val="Strong"/>
        </w:rPr>
        <w:t>Canada</w:t>
      </w:r>
      <w:r>
        <w:t>: 29,522 units</w:t>
      </w:r>
    </w:p>
    <w:p w:rsidR="0071744A" w:rsidRDefault="0071744A" w:rsidP="0071744A">
      <w:pPr>
        <w:pStyle w:val="NormalWeb"/>
        <w:ind w:left="720"/>
      </w:pPr>
      <w:r>
        <w:t>North America is the leading market, underscoring the need for targeted marketing strategies to further penetrate this region.</w:t>
      </w:r>
    </w:p>
    <w:p w:rsidR="0071744A" w:rsidRDefault="0071744A" w:rsidP="0071744A">
      <w:pPr>
        <w:pStyle w:val="Heading3"/>
      </w:pPr>
      <w:r>
        <w:t xml:space="preserve">6. </w:t>
      </w:r>
      <w:r>
        <w:rPr>
          <w:rStyle w:val="Strong"/>
          <w:b/>
          <w:bCs/>
        </w:rPr>
        <w:t>Profitability Analysis</w:t>
      </w:r>
    </w:p>
    <w:p w:rsidR="0071744A" w:rsidRDefault="0071744A" w:rsidP="0071744A">
      <w:pPr>
        <w:pStyle w:val="NormalWeb"/>
        <w:numPr>
          <w:ilvl w:val="0"/>
          <w:numId w:val="19"/>
        </w:numPr>
      </w:pPr>
      <w:r>
        <w:t>Breakdown of gross profit by category:</w:t>
      </w:r>
    </w:p>
    <w:p w:rsidR="0071744A" w:rsidRDefault="0071744A" w:rsidP="0071744A">
      <w:pPr>
        <w:numPr>
          <w:ilvl w:val="1"/>
          <w:numId w:val="19"/>
        </w:numPr>
        <w:bidi w:val="0"/>
        <w:spacing w:before="100" w:beforeAutospacing="1" w:after="100" w:afterAutospacing="1" w:line="240" w:lineRule="auto"/>
      </w:pPr>
      <w:r>
        <w:rPr>
          <w:rStyle w:val="Strong"/>
        </w:rPr>
        <w:t>Bikes</w:t>
      </w:r>
      <w:r>
        <w:t>: $9,693,218</w:t>
      </w:r>
    </w:p>
    <w:p w:rsidR="0071744A" w:rsidRDefault="0071744A" w:rsidP="0071744A">
      <w:pPr>
        <w:numPr>
          <w:ilvl w:val="1"/>
          <w:numId w:val="19"/>
        </w:numPr>
        <w:bidi w:val="0"/>
        <w:spacing w:before="100" w:beforeAutospacing="1" w:after="100" w:afterAutospacing="1" w:line="240" w:lineRule="auto"/>
      </w:pPr>
      <w:r>
        <w:rPr>
          <w:rStyle w:val="Strong"/>
        </w:rPr>
        <w:t>Components</w:t>
      </w:r>
      <w:r>
        <w:t>: $1,940,467</w:t>
      </w:r>
    </w:p>
    <w:p w:rsidR="0071744A" w:rsidRDefault="0071744A" w:rsidP="0071744A">
      <w:pPr>
        <w:numPr>
          <w:ilvl w:val="1"/>
          <w:numId w:val="19"/>
        </w:numPr>
        <w:bidi w:val="0"/>
        <w:spacing w:before="100" w:beforeAutospacing="1" w:after="100" w:afterAutospacing="1" w:line="240" w:lineRule="auto"/>
      </w:pPr>
      <w:r>
        <w:rPr>
          <w:rStyle w:val="Strong"/>
        </w:rPr>
        <w:t>Clothing</w:t>
      </w:r>
      <w:r>
        <w:t>: $296,662</w:t>
      </w:r>
    </w:p>
    <w:p w:rsidR="0071744A" w:rsidRDefault="0071744A" w:rsidP="0071744A">
      <w:pPr>
        <w:numPr>
          <w:ilvl w:val="1"/>
          <w:numId w:val="19"/>
        </w:numPr>
        <w:bidi w:val="0"/>
        <w:spacing w:before="100" w:beforeAutospacing="1" w:after="100" w:afterAutospacing="1" w:line="240" w:lineRule="auto"/>
      </w:pPr>
      <w:r>
        <w:rPr>
          <w:rStyle w:val="Strong"/>
        </w:rPr>
        <w:t>Accessories</w:t>
      </w:r>
      <w:r>
        <w:t>: $104,251</w:t>
      </w:r>
    </w:p>
    <w:p w:rsidR="0071744A" w:rsidRDefault="0071744A" w:rsidP="0071744A">
      <w:pPr>
        <w:pStyle w:val="NormalWeb"/>
        <w:ind w:left="720"/>
      </w:pPr>
      <w:r>
        <w:t>The Bikes category is the most profitable, suggesting that focusing on this segment could enhance overall profitability.</w:t>
      </w:r>
    </w:p>
    <w:p w:rsidR="0071744A" w:rsidRDefault="0071744A" w:rsidP="0071744A">
      <w:pPr>
        <w:pStyle w:val="Heading2"/>
        <w:bidi w:val="0"/>
      </w:pPr>
      <w:r>
        <w:t>Recommendations</w:t>
      </w:r>
    </w:p>
    <w:p w:rsidR="0071744A" w:rsidRDefault="0071744A" w:rsidP="0071744A">
      <w:pPr>
        <w:pStyle w:val="NormalWeb"/>
        <w:numPr>
          <w:ilvl w:val="0"/>
          <w:numId w:val="20"/>
        </w:numPr>
      </w:pPr>
      <w:r>
        <w:rPr>
          <w:rStyle w:val="Strong"/>
        </w:rPr>
        <w:t>Investigate Decline in 2014</w:t>
      </w:r>
      <w:r>
        <w:t>: Conduct a deeper analysis to understand the factors contributing to the sales decline in 2014. This may involve market research and customer feedback.</w:t>
      </w:r>
    </w:p>
    <w:p w:rsidR="0071744A" w:rsidRDefault="0071744A" w:rsidP="0071744A">
      <w:pPr>
        <w:pStyle w:val="NormalWeb"/>
        <w:numPr>
          <w:ilvl w:val="0"/>
          <w:numId w:val="20"/>
        </w:numPr>
      </w:pPr>
      <w:r>
        <w:rPr>
          <w:rStyle w:val="Strong"/>
        </w:rPr>
        <w:t>Focus on Top Products</w:t>
      </w:r>
      <w:r>
        <w:t>: Implement strategies to promote the top-selling products, particularly in the Mountain-200 series, to maintain and grow their market share.</w:t>
      </w:r>
    </w:p>
    <w:p w:rsidR="0071744A" w:rsidRDefault="0071744A" w:rsidP="0071744A">
      <w:pPr>
        <w:pStyle w:val="NormalWeb"/>
        <w:numPr>
          <w:ilvl w:val="0"/>
          <w:numId w:val="20"/>
        </w:numPr>
      </w:pPr>
      <w:r>
        <w:rPr>
          <w:rStyle w:val="Strong"/>
        </w:rPr>
        <w:t>Strengthen Customer Relationships</w:t>
      </w:r>
      <w:r>
        <w:t>: Enhance engagement with top customers to ensure repeat purchases and loyalty.</w:t>
      </w:r>
    </w:p>
    <w:p w:rsidR="0071744A" w:rsidRDefault="0071744A" w:rsidP="0071744A">
      <w:pPr>
        <w:pStyle w:val="NormalWeb"/>
        <w:numPr>
          <w:ilvl w:val="0"/>
          <w:numId w:val="20"/>
        </w:numPr>
      </w:pPr>
      <w:r>
        <w:rPr>
          <w:rStyle w:val="Strong"/>
        </w:rPr>
        <w:t>Market Expansion</w:t>
      </w:r>
      <w:r>
        <w:t>: Explore opportunities for expanding sales in underperforming territories, particularly Europe, to balance revenue streams.</w:t>
      </w:r>
    </w:p>
    <w:p w:rsidR="0071744A" w:rsidRDefault="0071744A" w:rsidP="0071744A">
      <w:pPr>
        <w:pStyle w:val="NormalWeb"/>
        <w:numPr>
          <w:ilvl w:val="0"/>
          <w:numId w:val="20"/>
        </w:numPr>
      </w:pPr>
      <w:r>
        <w:rPr>
          <w:rStyle w:val="Strong"/>
        </w:rPr>
        <w:t>Diversify Product Line</w:t>
      </w:r>
      <w:r>
        <w:t>: Consider diversifying the product offerings in the Accessories and Clothing categories, where profitability is currently lower.</w:t>
      </w:r>
    </w:p>
    <w:p w:rsidR="0071744A" w:rsidRDefault="0071744A" w:rsidP="0071744A">
      <w:pPr>
        <w:pStyle w:val="Heading2"/>
        <w:bidi w:val="0"/>
      </w:pPr>
      <w:r>
        <w:lastRenderedPageBreak/>
        <w:t>Conclusion</w:t>
      </w:r>
    </w:p>
    <w:p w:rsidR="0071744A" w:rsidRDefault="0071744A" w:rsidP="0071744A">
      <w:pPr>
        <w:pStyle w:val="NormalWeb"/>
      </w:pPr>
      <w:r>
        <w:t>The Omar Group demonstrates a robust sales performance with significant growth potential. By addressing the identified areas for improvement and leveraging the strengths highlighted in this report, the company can enhance its market position and profitability in the coming years.</w:t>
      </w:r>
    </w:p>
    <w:p w:rsidR="008075E2" w:rsidRPr="0071744A" w:rsidRDefault="008075E2" w:rsidP="0071744A"/>
    <w:sectPr w:rsidR="008075E2" w:rsidRPr="0071744A" w:rsidSect="00CF0B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724"/>
    <w:multiLevelType w:val="multilevel"/>
    <w:tmpl w:val="084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D128A"/>
    <w:multiLevelType w:val="multilevel"/>
    <w:tmpl w:val="CEA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E481E"/>
    <w:multiLevelType w:val="multilevel"/>
    <w:tmpl w:val="C604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0757D"/>
    <w:multiLevelType w:val="multilevel"/>
    <w:tmpl w:val="141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21D83"/>
    <w:multiLevelType w:val="multilevel"/>
    <w:tmpl w:val="A34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C21DA"/>
    <w:multiLevelType w:val="multilevel"/>
    <w:tmpl w:val="A6C08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A0BA6"/>
    <w:multiLevelType w:val="hybridMultilevel"/>
    <w:tmpl w:val="FF38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52CCA"/>
    <w:multiLevelType w:val="multilevel"/>
    <w:tmpl w:val="0BF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E7527"/>
    <w:multiLevelType w:val="multilevel"/>
    <w:tmpl w:val="5C94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461E9"/>
    <w:multiLevelType w:val="multilevel"/>
    <w:tmpl w:val="DD8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D5EDD"/>
    <w:multiLevelType w:val="multilevel"/>
    <w:tmpl w:val="1786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178DA"/>
    <w:multiLevelType w:val="multilevel"/>
    <w:tmpl w:val="2C7E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B17D0"/>
    <w:multiLevelType w:val="multilevel"/>
    <w:tmpl w:val="6B9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C4F64"/>
    <w:multiLevelType w:val="multilevel"/>
    <w:tmpl w:val="CECC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6103F"/>
    <w:multiLevelType w:val="hybridMultilevel"/>
    <w:tmpl w:val="DA3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2761A"/>
    <w:multiLevelType w:val="hybridMultilevel"/>
    <w:tmpl w:val="43A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541CA"/>
    <w:multiLevelType w:val="hybridMultilevel"/>
    <w:tmpl w:val="315CDE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76C41679"/>
    <w:multiLevelType w:val="multilevel"/>
    <w:tmpl w:val="988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50E9B"/>
    <w:multiLevelType w:val="multilevel"/>
    <w:tmpl w:val="2B0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51A12"/>
    <w:multiLevelType w:val="multilevel"/>
    <w:tmpl w:val="B3B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5"/>
  </w:num>
  <w:num w:numId="4">
    <w:abstractNumId w:val="16"/>
  </w:num>
  <w:num w:numId="5">
    <w:abstractNumId w:val="9"/>
  </w:num>
  <w:num w:numId="6">
    <w:abstractNumId w:val="12"/>
  </w:num>
  <w:num w:numId="7">
    <w:abstractNumId w:val="1"/>
  </w:num>
  <w:num w:numId="8">
    <w:abstractNumId w:val="4"/>
  </w:num>
  <w:num w:numId="9">
    <w:abstractNumId w:val="3"/>
  </w:num>
  <w:num w:numId="10">
    <w:abstractNumId w:val="7"/>
  </w:num>
  <w:num w:numId="11">
    <w:abstractNumId w:val="17"/>
  </w:num>
  <w:num w:numId="12">
    <w:abstractNumId w:val="5"/>
  </w:num>
  <w:num w:numId="13">
    <w:abstractNumId w:val="0"/>
  </w:num>
  <w:num w:numId="14">
    <w:abstractNumId w:val="18"/>
  </w:num>
  <w:num w:numId="15">
    <w:abstractNumId w:val="8"/>
  </w:num>
  <w:num w:numId="16">
    <w:abstractNumId w:val="13"/>
  </w:num>
  <w:num w:numId="17">
    <w:abstractNumId w:val="11"/>
  </w:num>
  <w:num w:numId="18">
    <w:abstractNumId w:val="10"/>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21"/>
    <w:rsid w:val="00063821"/>
    <w:rsid w:val="001243C4"/>
    <w:rsid w:val="0015305C"/>
    <w:rsid w:val="00176CAC"/>
    <w:rsid w:val="004A6221"/>
    <w:rsid w:val="0055467A"/>
    <w:rsid w:val="005E659A"/>
    <w:rsid w:val="00631B13"/>
    <w:rsid w:val="0071744A"/>
    <w:rsid w:val="00780F3B"/>
    <w:rsid w:val="007E3A8B"/>
    <w:rsid w:val="008075E2"/>
    <w:rsid w:val="008837E4"/>
    <w:rsid w:val="00890CBE"/>
    <w:rsid w:val="008D3258"/>
    <w:rsid w:val="00940A14"/>
    <w:rsid w:val="009C08EE"/>
    <w:rsid w:val="00CA1C4C"/>
    <w:rsid w:val="00CB6A6E"/>
    <w:rsid w:val="00CF0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DC6B"/>
  <w15:chartTrackingRefBased/>
  <w15:docId w15:val="{C4C7AA81-ACDC-4AFC-BDC9-2EB1D58F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B6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0F3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F3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B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5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659A"/>
    <w:pPr>
      <w:ind w:left="720"/>
      <w:contextualSpacing/>
    </w:pPr>
  </w:style>
  <w:style w:type="character" w:customStyle="1" w:styleId="Heading3Char">
    <w:name w:val="Heading 3 Char"/>
    <w:basedOn w:val="DefaultParagraphFont"/>
    <w:link w:val="Heading3"/>
    <w:uiPriority w:val="9"/>
    <w:rsid w:val="00780F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F3B"/>
    <w:rPr>
      <w:rFonts w:ascii="Times New Roman" w:eastAsia="Times New Roman" w:hAnsi="Times New Roman" w:cs="Times New Roman"/>
      <w:b/>
      <w:bCs/>
      <w:sz w:val="24"/>
      <w:szCs w:val="24"/>
    </w:rPr>
  </w:style>
  <w:style w:type="character" w:styleId="Strong">
    <w:name w:val="Strong"/>
    <w:basedOn w:val="DefaultParagraphFont"/>
    <w:uiPriority w:val="22"/>
    <w:qFormat/>
    <w:rsid w:val="00780F3B"/>
    <w:rPr>
      <w:b/>
      <w:bCs/>
    </w:rPr>
  </w:style>
  <w:style w:type="paragraph" w:styleId="NormalWeb">
    <w:name w:val="Normal (Web)"/>
    <w:basedOn w:val="Normal"/>
    <w:uiPriority w:val="99"/>
    <w:semiHidden/>
    <w:unhideWhenUsed/>
    <w:rsid w:val="00780F3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4041">
      <w:bodyDiv w:val="1"/>
      <w:marLeft w:val="0"/>
      <w:marRight w:val="0"/>
      <w:marTop w:val="0"/>
      <w:marBottom w:val="0"/>
      <w:divBdr>
        <w:top w:val="none" w:sz="0" w:space="0" w:color="auto"/>
        <w:left w:val="none" w:sz="0" w:space="0" w:color="auto"/>
        <w:bottom w:val="none" w:sz="0" w:space="0" w:color="auto"/>
        <w:right w:val="none" w:sz="0" w:space="0" w:color="auto"/>
      </w:divBdr>
    </w:div>
    <w:div w:id="750930069">
      <w:bodyDiv w:val="1"/>
      <w:marLeft w:val="0"/>
      <w:marRight w:val="0"/>
      <w:marTop w:val="0"/>
      <w:marBottom w:val="0"/>
      <w:divBdr>
        <w:top w:val="none" w:sz="0" w:space="0" w:color="auto"/>
        <w:left w:val="none" w:sz="0" w:space="0" w:color="auto"/>
        <w:bottom w:val="none" w:sz="0" w:space="0" w:color="auto"/>
        <w:right w:val="none" w:sz="0" w:space="0" w:color="auto"/>
      </w:divBdr>
    </w:div>
    <w:div w:id="140005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10</cp:revision>
  <dcterms:created xsi:type="dcterms:W3CDTF">2024-08-12T11:56:00Z</dcterms:created>
  <dcterms:modified xsi:type="dcterms:W3CDTF">2024-10-05T20:36:00Z</dcterms:modified>
</cp:coreProperties>
</file>