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نجارة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Dolor, voluptatem inventore aliquid omnis deleniti laboriosam, corrupti molestiae necessitatibus ratione repudiandae quos doloribus nesciunt nobis quaerat? Sunt vero architecto ad corrupti!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1\10\2023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1000</w:t>
      </w:r>
      <w:r w:rsidDel="00000000" w:rsidR="00000000" w:rsidRPr="00000000">
        <w:rPr>
          <w:b w:val="1"/>
          <w:i w:val="0"/>
          <w:sz w:val="26"/>
          <w:szCs w:val="26"/>
          <w:rtl w:val="1"/>
        </w:rPr>
        <w:t xml:space="preserve">ج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i w:val="0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0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24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