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53F2E5" w14:textId="42F23832" w:rsidR="00AC2431" w:rsidRPr="00AC2431" w:rsidRDefault="00AC2431">
      <w:pPr>
        <w:rPr>
          <w:color w:val="FF0000"/>
          <w:lang w:val="en-GB"/>
        </w:rPr>
      </w:pPr>
      <w:r w:rsidRPr="00AC2431">
        <w:rPr>
          <w:color w:val="FF0000"/>
          <w:lang w:val="en-GB"/>
        </w:rPr>
        <w:t xml:space="preserve">Provide the definition of Geographic Areas, Compute Regions, and Availability Zones in the context of data </w:t>
      </w:r>
      <w:proofErr w:type="spellStart"/>
      <w:r w:rsidRPr="00AC2431">
        <w:rPr>
          <w:color w:val="FF0000"/>
          <w:lang w:val="en-GB"/>
        </w:rPr>
        <w:t>centers</w:t>
      </w:r>
      <w:proofErr w:type="spellEnd"/>
      <w:r w:rsidRPr="00AC2431">
        <w:rPr>
          <w:color w:val="FF0000"/>
          <w:lang w:val="en-GB"/>
        </w:rPr>
        <w:t>. What are the advantages and drawbacks of placing all compute instances for my service within a single availability zone?</w:t>
      </w:r>
    </w:p>
    <w:p w14:paraId="2A0B1107" w14:textId="77777777" w:rsidR="00484417" w:rsidRPr="00484417" w:rsidRDefault="00484417" w:rsidP="00484417">
      <w:pPr>
        <w:rPr>
          <w:lang w:val="en-GB"/>
        </w:rPr>
      </w:pPr>
      <w:r w:rsidRPr="00484417">
        <w:rPr>
          <w:lang w:val="en-GB"/>
        </w:rPr>
        <w:t xml:space="preserve">In the context of data </w:t>
      </w:r>
      <w:proofErr w:type="spellStart"/>
      <w:r w:rsidRPr="00484417">
        <w:rPr>
          <w:lang w:val="en-GB"/>
        </w:rPr>
        <w:t>centers</w:t>
      </w:r>
      <w:proofErr w:type="spellEnd"/>
      <w:r w:rsidRPr="00484417">
        <w:rPr>
          <w:lang w:val="en-GB"/>
        </w:rPr>
        <w:t>:</w:t>
      </w:r>
    </w:p>
    <w:p w14:paraId="0598F5F0" w14:textId="77777777" w:rsidR="00484417" w:rsidRPr="00484417" w:rsidRDefault="00484417" w:rsidP="00484417">
      <w:pPr>
        <w:numPr>
          <w:ilvl w:val="0"/>
          <w:numId w:val="1"/>
        </w:numPr>
        <w:rPr>
          <w:lang w:val="en-GB"/>
        </w:rPr>
      </w:pPr>
      <w:r w:rsidRPr="00484417">
        <w:rPr>
          <w:b/>
          <w:bCs/>
          <w:lang w:val="en-GB"/>
        </w:rPr>
        <w:t>Geographic Areas (GAs)</w:t>
      </w:r>
      <w:r w:rsidRPr="00484417">
        <w:rPr>
          <w:lang w:val="en-GB"/>
        </w:rPr>
        <w:t>: These are broad divisions based on geopolitical boundaries, often corresponding to country borders. Geographic Areas are essential for data residency requirements, ensuring that data remains within specific legal jurisdictions.</w:t>
      </w:r>
    </w:p>
    <w:p w14:paraId="581FBB19" w14:textId="77777777" w:rsidR="00484417" w:rsidRPr="00484417" w:rsidRDefault="00484417" w:rsidP="00484417">
      <w:pPr>
        <w:numPr>
          <w:ilvl w:val="0"/>
          <w:numId w:val="1"/>
        </w:numPr>
        <w:rPr>
          <w:lang w:val="en-GB"/>
        </w:rPr>
      </w:pPr>
      <w:r w:rsidRPr="00484417">
        <w:rPr>
          <w:b/>
          <w:bCs/>
          <w:lang w:val="en-GB"/>
        </w:rPr>
        <w:t>Compute Regions (CRs)</w:t>
      </w:r>
      <w:r w:rsidRPr="00484417">
        <w:rPr>
          <w:lang w:val="en-GB"/>
        </w:rPr>
        <w:t xml:space="preserve">: Within each Geographic Area, there are multiple Compute Regions. A Compute Region is defined by a latency perimeter, typically less than 2 milliseconds round-trip, ensuring low-latency communication. Compute Regions are geographically separated by hundreds of miles, providing a balance between proximity (for performance) and distance (for disaster recovery). Multiple data </w:t>
      </w:r>
      <w:proofErr w:type="spellStart"/>
      <w:r w:rsidRPr="00484417">
        <w:rPr>
          <w:lang w:val="en-GB"/>
        </w:rPr>
        <w:t>centers</w:t>
      </w:r>
      <w:proofErr w:type="spellEnd"/>
      <w:r w:rsidRPr="00484417">
        <w:rPr>
          <w:lang w:val="en-GB"/>
        </w:rPr>
        <w:t xml:space="preserve"> may exist within a single Compute Region, but they are not exposed separately to the customer.</w:t>
      </w:r>
    </w:p>
    <w:p w14:paraId="54598FCA" w14:textId="77777777" w:rsidR="00484417" w:rsidRPr="00484417" w:rsidRDefault="00484417" w:rsidP="00484417">
      <w:pPr>
        <w:numPr>
          <w:ilvl w:val="0"/>
          <w:numId w:val="1"/>
        </w:numPr>
        <w:rPr>
          <w:lang w:val="en-GB"/>
        </w:rPr>
      </w:pPr>
      <w:r w:rsidRPr="00484417">
        <w:rPr>
          <w:b/>
          <w:bCs/>
          <w:lang w:val="en-GB"/>
        </w:rPr>
        <w:t>Availability Zones (AZs)</w:t>
      </w:r>
      <w:r w:rsidRPr="00484417">
        <w:rPr>
          <w:lang w:val="en-GB"/>
        </w:rPr>
        <w:t xml:space="preserve">: Availability Zones are more granular locations within a Compute Region. Each Availability Zone is fault-isolated, with independent power, cooling, and networking. This setup allows for high availability and fault tolerance. Applications can be designed to replicate data synchronously across multiple Availability Zones within the same Compute Region to ensure resilience against data </w:t>
      </w:r>
      <w:proofErr w:type="spellStart"/>
      <w:r w:rsidRPr="00484417">
        <w:rPr>
          <w:lang w:val="en-GB"/>
        </w:rPr>
        <w:t>center</w:t>
      </w:r>
      <w:proofErr w:type="spellEnd"/>
      <w:r w:rsidRPr="00484417">
        <w:rPr>
          <w:lang w:val="en-GB"/>
        </w:rPr>
        <w:t xml:space="preserve"> failures.</w:t>
      </w:r>
    </w:p>
    <w:p w14:paraId="0AEE0CD5" w14:textId="77777777" w:rsidR="00484417" w:rsidRPr="00484417" w:rsidRDefault="00484417" w:rsidP="00484417">
      <w:pPr>
        <w:rPr>
          <w:b/>
          <w:bCs/>
          <w:lang w:val="en-GB"/>
        </w:rPr>
      </w:pPr>
      <w:r w:rsidRPr="00484417">
        <w:rPr>
          <w:b/>
          <w:bCs/>
          <w:lang w:val="en-GB"/>
        </w:rPr>
        <w:t>Advantages and Drawbacks of Using a Single Availability Zone</w:t>
      </w:r>
    </w:p>
    <w:p w14:paraId="696EEFB0" w14:textId="77777777" w:rsidR="00484417" w:rsidRPr="00484417" w:rsidRDefault="00484417" w:rsidP="00484417">
      <w:proofErr w:type="spellStart"/>
      <w:r w:rsidRPr="00484417">
        <w:rPr>
          <w:b/>
          <w:bCs/>
        </w:rPr>
        <w:t>Advantages</w:t>
      </w:r>
      <w:proofErr w:type="spellEnd"/>
      <w:r w:rsidRPr="00484417">
        <w:t>:</w:t>
      </w:r>
    </w:p>
    <w:p w14:paraId="5FEE2880" w14:textId="77777777" w:rsidR="00484417" w:rsidRPr="00484417" w:rsidRDefault="00484417" w:rsidP="00484417">
      <w:pPr>
        <w:numPr>
          <w:ilvl w:val="0"/>
          <w:numId w:val="2"/>
        </w:numPr>
        <w:rPr>
          <w:lang w:val="en-GB"/>
        </w:rPr>
      </w:pPr>
      <w:r w:rsidRPr="00484417">
        <w:rPr>
          <w:b/>
          <w:bCs/>
          <w:lang w:val="en-GB"/>
        </w:rPr>
        <w:t>Low Latency</w:t>
      </w:r>
      <w:r w:rsidRPr="00484417">
        <w:rPr>
          <w:lang w:val="en-GB"/>
        </w:rPr>
        <w:t>: Keeping all compute instances within a single Availability Zone can reduce latency, as all resources are in close proximity, minimizing communication delays.</w:t>
      </w:r>
    </w:p>
    <w:p w14:paraId="4E94901D" w14:textId="77777777" w:rsidR="00484417" w:rsidRPr="00484417" w:rsidRDefault="00484417" w:rsidP="00484417">
      <w:pPr>
        <w:numPr>
          <w:ilvl w:val="0"/>
          <w:numId w:val="2"/>
        </w:numPr>
        <w:rPr>
          <w:lang w:val="en-GB"/>
        </w:rPr>
      </w:pPr>
      <w:r w:rsidRPr="00484417">
        <w:rPr>
          <w:b/>
          <w:bCs/>
          <w:lang w:val="en-GB"/>
        </w:rPr>
        <w:t>Simplified Management</w:t>
      </w:r>
      <w:r w:rsidRPr="00484417">
        <w:rPr>
          <w:lang w:val="en-GB"/>
        </w:rPr>
        <w:t>: Operating within a single Availability Zone simplifies resource management, as there is no need to handle cross-AZ synchronization or data replication.</w:t>
      </w:r>
    </w:p>
    <w:p w14:paraId="34698BAB" w14:textId="77777777" w:rsidR="00484417" w:rsidRPr="00484417" w:rsidRDefault="00484417" w:rsidP="00484417">
      <w:proofErr w:type="spellStart"/>
      <w:r w:rsidRPr="00484417">
        <w:rPr>
          <w:b/>
          <w:bCs/>
        </w:rPr>
        <w:t>Drawbacks</w:t>
      </w:r>
      <w:proofErr w:type="spellEnd"/>
      <w:r w:rsidRPr="00484417">
        <w:t>:</w:t>
      </w:r>
    </w:p>
    <w:p w14:paraId="501FDE83" w14:textId="77777777" w:rsidR="00484417" w:rsidRPr="00484417" w:rsidRDefault="00484417" w:rsidP="00484417">
      <w:pPr>
        <w:numPr>
          <w:ilvl w:val="0"/>
          <w:numId w:val="3"/>
        </w:numPr>
        <w:rPr>
          <w:lang w:val="en-GB"/>
        </w:rPr>
      </w:pPr>
      <w:r w:rsidRPr="00484417">
        <w:rPr>
          <w:b/>
          <w:bCs/>
          <w:lang w:val="en-GB"/>
        </w:rPr>
        <w:t>Single Point of Failure</w:t>
      </w:r>
      <w:r w:rsidRPr="00484417">
        <w:rPr>
          <w:lang w:val="en-GB"/>
        </w:rPr>
        <w:t>: The most significant drawback is the risk of a single point of failure. If the Availability Zone experiences an outage due to power failure, network issues, or other disasters, all services hosted within that zone will be affected, leading to potential downtime.</w:t>
      </w:r>
    </w:p>
    <w:p w14:paraId="71A814B0" w14:textId="77777777" w:rsidR="00484417" w:rsidRPr="00484417" w:rsidRDefault="00484417" w:rsidP="00484417">
      <w:pPr>
        <w:numPr>
          <w:ilvl w:val="0"/>
          <w:numId w:val="3"/>
        </w:numPr>
        <w:rPr>
          <w:lang w:val="en-GB"/>
        </w:rPr>
      </w:pPr>
      <w:r w:rsidRPr="00484417">
        <w:rPr>
          <w:b/>
          <w:bCs/>
          <w:lang w:val="en-GB"/>
        </w:rPr>
        <w:t>Limited Fault Tolerance</w:t>
      </w:r>
      <w:r w:rsidRPr="00484417">
        <w:rPr>
          <w:lang w:val="en-GB"/>
        </w:rPr>
        <w:t>: Unlike a multi-AZ setup, a single Availability Zone does not offer redundancy, making the service more vulnerable to disruptions and compromising the overall availability and reliability of the system.</w:t>
      </w:r>
    </w:p>
    <w:p w14:paraId="76BEA16A" w14:textId="3F27B34A" w:rsidR="005112BC" w:rsidRPr="00484417" w:rsidRDefault="00484417">
      <w:pPr>
        <w:rPr>
          <w:lang w:val="en-GB"/>
        </w:rPr>
      </w:pPr>
      <w:r w:rsidRPr="00484417">
        <w:rPr>
          <w:lang w:val="en-GB"/>
        </w:rPr>
        <w:t>This setup may be cost-effective and simpler, but it comes with trade-offs in terms of availability and fault tolerance, which are critical in many production environments.</w:t>
      </w:r>
    </w:p>
    <w:sectPr w:rsidR="005112BC" w:rsidRPr="0048441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372E9"/>
    <w:multiLevelType w:val="multilevel"/>
    <w:tmpl w:val="69D0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90071C"/>
    <w:multiLevelType w:val="multilevel"/>
    <w:tmpl w:val="E782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CE2A75"/>
    <w:multiLevelType w:val="multilevel"/>
    <w:tmpl w:val="ECF07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6296330">
    <w:abstractNumId w:val="2"/>
  </w:num>
  <w:num w:numId="2" w16cid:durableId="1820533240">
    <w:abstractNumId w:val="0"/>
  </w:num>
  <w:num w:numId="3" w16cid:durableId="1385447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1E9"/>
    <w:rsid w:val="004351E9"/>
    <w:rsid w:val="00484417"/>
    <w:rsid w:val="005112BC"/>
    <w:rsid w:val="008C69E7"/>
    <w:rsid w:val="00AC2431"/>
    <w:rsid w:val="00DC0DBB"/>
    <w:rsid w:val="00E3443A"/>
    <w:rsid w:val="00E9637F"/>
    <w:rsid w:val="00EB483F"/>
    <w:rsid w:val="00FE70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F307"/>
  <w15:chartTrackingRefBased/>
  <w15:docId w15:val="{8D7BB08B-74B5-4EDA-8F10-83DE9C2B7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351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4351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4351E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4351E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4351E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4351E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4351E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4351E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4351E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351E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4351E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4351E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4351E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4351E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4351E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4351E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4351E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4351E9"/>
    <w:rPr>
      <w:rFonts w:eastAsiaTheme="majorEastAsia" w:cstheme="majorBidi"/>
      <w:color w:val="272727" w:themeColor="text1" w:themeTint="D8"/>
    </w:rPr>
  </w:style>
  <w:style w:type="paragraph" w:styleId="Titolo">
    <w:name w:val="Title"/>
    <w:basedOn w:val="Normale"/>
    <w:next w:val="Normale"/>
    <w:link w:val="TitoloCarattere"/>
    <w:uiPriority w:val="10"/>
    <w:qFormat/>
    <w:rsid w:val="004351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351E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351E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4351E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4351E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4351E9"/>
    <w:rPr>
      <w:i/>
      <w:iCs/>
      <w:color w:val="404040" w:themeColor="text1" w:themeTint="BF"/>
    </w:rPr>
  </w:style>
  <w:style w:type="paragraph" w:styleId="Paragrafoelenco">
    <w:name w:val="List Paragraph"/>
    <w:basedOn w:val="Normale"/>
    <w:uiPriority w:val="34"/>
    <w:qFormat/>
    <w:rsid w:val="004351E9"/>
    <w:pPr>
      <w:ind w:left="720"/>
      <w:contextualSpacing/>
    </w:pPr>
  </w:style>
  <w:style w:type="character" w:styleId="Enfasiintensa">
    <w:name w:val="Intense Emphasis"/>
    <w:basedOn w:val="Carpredefinitoparagrafo"/>
    <w:uiPriority w:val="21"/>
    <w:qFormat/>
    <w:rsid w:val="004351E9"/>
    <w:rPr>
      <w:i/>
      <w:iCs/>
      <w:color w:val="0F4761" w:themeColor="accent1" w:themeShade="BF"/>
    </w:rPr>
  </w:style>
  <w:style w:type="paragraph" w:styleId="Citazioneintensa">
    <w:name w:val="Intense Quote"/>
    <w:basedOn w:val="Normale"/>
    <w:next w:val="Normale"/>
    <w:link w:val="CitazioneintensaCarattere"/>
    <w:uiPriority w:val="30"/>
    <w:qFormat/>
    <w:rsid w:val="004351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4351E9"/>
    <w:rPr>
      <w:i/>
      <w:iCs/>
      <w:color w:val="0F4761" w:themeColor="accent1" w:themeShade="BF"/>
    </w:rPr>
  </w:style>
  <w:style w:type="character" w:styleId="Riferimentointenso">
    <w:name w:val="Intense Reference"/>
    <w:basedOn w:val="Carpredefinitoparagrafo"/>
    <w:uiPriority w:val="32"/>
    <w:qFormat/>
    <w:rsid w:val="004351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9483214">
      <w:bodyDiv w:val="1"/>
      <w:marLeft w:val="0"/>
      <w:marRight w:val="0"/>
      <w:marTop w:val="0"/>
      <w:marBottom w:val="0"/>
      <w:divBdr>
        <w:top w:val="none" w:sz="0" w:space="0" w:color="auto"/>
        <w:left w:val="none" w:sz="0" w:space="0" w:color="auto"/>
        <w:bottom w:val="none" w:sz="0" w:space="0" w:color="auto"/>
        <w:right w:val="none" w:sz="0" w:space="0" w:color="auto"/>
      </w:divBdr>
    </w:div>
    <w:div w:id="213582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383</Words>
  <Characters>2185</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Naja</dc:creator>
  <cp:keywords/>
  <dc:description/>
  <cp:lastModifiedBy>Omar Naja</cp:lastModifiedBy>
  <cp:revision>3</cp:revision>
  <dcterms:created xsi:type="dcterms:W3CDTF">2024-08-10T20:40:00Z</dcterms:created>
  <dcterms:modified xsi:type="dcterms:W3CDTF">2024-08-10T21:29:00Z</dcterms:modified>
</cp:coreProperties>
</file>