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BUSINESS REQUIREMENTS DOCUMENT</w:t>
      </w:r>
    </w:p>
    <w:p>
      <w:pPr>
        <w:spacing w:after="600"/>
        <w:jc w:val="center"/>
      </w:pPr>
      <w:r>
        <w:rPr>
          <w:b/>
          <w:bCs/>
          <w:color w:val="2E74B5"/>
          <w:sz w:val="32"/>
          <w:szCs w:val="32"/>
        </w:rPr>
        <w:t xml:space="preserve">Customer Churn Analytics Initiative</w:t>
      </w:r>
    </w:p>
    <w:p>
      <w:pPr>
        <w:spacing w:after="100"/>
        <w:jc w:val="center"/>
      </w:pPr>
      <w:r>
        <w:rPr>
          <w:color w:val="595959"/>
          <w:sz w:val="24"/>
          <w:szCs w:val="24"/>
        </w:rPr>
        <w:t xml:space="preserve">Fiscal Year 2025</w:t>
      </w:r>
    </w:p>
    <w:p>
      <w:pPr>
        <w:spacing w:before="8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Document Attribute</w:t>
            </w:r>
          </w:p>
        </w:tc>
        <w:tc>
          <w:tcPr>
            <w:tcW w:type="dxa" w:w="6300"/>
            <w:shd w:fill="1F3864" w:val="clear"/>
            <w:tcMar>
              <w:top w:type="dxa" w:w="100"/>
              <w:left w:type="dxa" w:w="120"/>
              <w:bottom w:type="dxa" w:w="100"/>
              <w:right w:type="dxa" w:w="120"/>
            </w:tcMar>
          </w:tcPr>
          <w:p>
            <w:r>
              <w:rPr>
                <w:b/>
                <w:bCs/>
                <w:color w:val="FFFFFF"/>
                <w:sz w:val="20"/>
                <w:szCs w:val="20"/>
              </w:rPr>
              <w:t xml:space="preserve">Detail</w:t>
            </w:r>
          </w:p>
        </w:tc>
      </w:tr>
      <w:tr>
        <w:tc>
          <w:tcPr>
            <w:tcW w:type="dxa" w:w="3200"/>
            <w:tcMar>
              <w:top w:type="dxa" w:w="100"/>
              <w:left w:type="dxa" w:w="120"/>
              <w:bottom w:type="dxa" w:w="100"/>
              <w:right w:type="dxa" w:w="120"/>
            </w:tcMar>
          </w:tcPr>
          <w:p>
            <w:pPr>
              <w:jc w:val="left"/>
            </w:pPr>
            <w:r>
              <w:rPr>
                <w:b w:val="false"/>
                <w:bCs w:val="false"/>
                <w:sz w:val="20"/>
                <w:szCs w:val="20"/>
              </w:rPr>
              <w:t xml:space="preserve">Document Title</w:t>
            </w:r>
          </w:p>
        </w:tc>
        <w:tc>
          <w:tcPr>
            <w:tcW w:type="dxa" w:w="6300"/>
            <w:tcMar>
              <w:top w:type="dxa" w:w="100"/>
              <w:left w:type="dxa" w:w="120"/>
              <w:bottom w:type="dxa" w:w="100"/>
              <w:right w:type="dxa" w:w="120"/>
            </w:tcMar>
          </w:tcPr>
          <w:p>
            <w:pPr>
              <w:jc w:val="left"/>
            </w:pPr>
            <w:r>
              <w:rPr>
                <w:b w:val="false"/>
                <w:bCs w:val="false"/>
                <w:sz w:val="20"/>
                <w:szCs w:val="20"/>
              </w:rPr>
              <w:t xml:space="preserve">Business Requirements Document — Customer Churn Analytics Initiative</w:t>
            </w:r>
          </w:p>
        </w:tc>
      </w:tr>
      <w:tr>
        <w:tc>
          <w:tcPr>
            <w:tcW w:type="dxa" w:w="3200"/>
            <w:shd w:fill="F2F2F2" w:val="clear"/>
            <w:tcMar>
              <w:top w:type="dxa" w:w="100"/>
              <w:left w:type="dxa" w:w="120"/>
              <w:bottom w:type="dxa" w:w="100"/>
              <w:right w:type="dxa" w:w="120"/>
            </w:tcMar>
          </w:tcPr>
          <w:p>
            <w:pPr>
              <w:jc w:val="left"/>
            </w:pPr>
            <w:r>
              <w:rPr>
                <w:b w:val="false"/>
                <w:bCs w:val="false"/>
                <w:sz w:val="20"/>
                <w:szCs w:val="20"/>
              </w:rPr>
              <w:t xml:space="preserve">Project Sponsor</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Chief Executive Officer</w:t>
            </w:r>
          </w:p>
        </w:tc>
      </w:tr>
      <w:tr>
        <w:tc>
          <w:tcPr>
            <w:tcW w:type="dxa" w:w="3200"/>
            <w:tcMar>
              <w:top w:type="dxa" w:w="100"/>
              <w:left w:type="dxa" w:w="120"/>
              <w:bottom w:type="dxa" w:w="100"/>
              <w:right w:type="dxa" w:w="120"/>
            </w:tcMar>
          </w:tcPr>
          <w:p>
            <w:pPr>
              <w:jc w:val="left"/>
            </w:pPr>
            <w:r>
              <w:rPr>
                <w:b w:val="false"/>
                <w:bCs w:val="false"/>
                <w:sz w:val="20"/>
                <w:szCs w:val="20"/>
              </w:rPr>
              <w:t xml:space="preserve">Prepared By</w:t>
            </w:r>
          </w:p>
        </w:tc>
        <w:tc>
          <w:tcPr>
            <w:tcW w:type="dxa" w:w="6300"/>
            <w:tcMar>
              <w:top w:type="dxa" w:w="100"/>
              <w:left w:type="dxa" w:w="120"/>
              <w:bottom w:type="dxa" w:w="100"/>
              <w:right w:type="dxa" w:w="120"/>
            </w:tcMar>
          </w:tcPr>
          <w:p>
            <w:pPr>
              <w:jc w:val="left"/>
            </w:pPr>
            <w:r>
              <w:rPr>
                <w:b w:val="false"/>
                <w:bCs w:val="false"/>
                <w:sz w:val="20"/>
                <w:szCs w:val="20"/>
              </w:rPr>
              <w:t xml:space="preserve">Data Analytics Team</w:t>
            </w:r>
          </w:p>
        </w:tc>
      </w:tr>
      <w:tr>
        <w:tc>
          <w:tcPr>
            <w:tcW w:type="dxa" w:w="3200"/>
            <w:shd w:fill="F2F2F2" w:val="clear"/>
            <w:tcMar>
              <w:top w:type="dxa" w:w="100"/>
              <w:left w:type="dxa" w:w="120"/>
              <w:bottom w:type="dxa" w:w="100"/>
              <w:right w:type="dxa" w:w="120"/>
            </w:tcMar>
          </w:tcPr>
          <w:p>
            <w:pPr>
              <w:jc w:val="left"/>
            </w:pPr>
            <w:r>
              <w:rPr>
                <w:b w:val="false"/>
                <w:bCs w:val="false"/>
                <w:sz w:val="20"/>
                <w:szCs w:val="20"/>
              </w:rPr>
              <w:t xml:space="preserve">Document Status</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Draft — For Review</w:t>
            </w:r>
          </w:p>
        </w:tc>
      </w:tr>
      <w:tr>
        <w:tc>
          <w:tcPr>
            <w:tcW w:type="dxa" w:w="3200"/>
            <w:tcMar>
              <w:top w:type="dxa" w:w="100"/>
              <w:left w:type="dxa" w:w="120"/>
              <w:bottom w:type="dxa" w:w="100"/>
              <w:right w:type="dxa" w:w="120"/>
            </w:tcMar>
          </w:tcPr>
          <w:p>
            <w:pPr>
              <w:jc w:val="left"/>
            </w:pPr>
            <w:r>
              <w:rPr>
                <w:b w:val="false"/>
                <w:bCs w:val="false"/>
                <w:sz w:val="20"/>
                <w:szCs w:val="20"/>
              </w:rPr>
              <w:t xml:space="preserve">Version</w:t>
            </w:r>
          </w:p>
        </w:tc>
        <w:tc>
          <w:tcPr>
            <w:tcW w:type="dxa" w:w="6300"/>
            <w:tcMar>
              <w:top w:type="dxa" w:w="100"/>
              <w:left w:type="dxa" w:w="120"/>
              <w:bottom w:type="dxa" w:w="100"/>
              <w:right w:type="dxa" w:w="120"/>
            </w:tcMar>
          </w:tcPr>
          <w:p>
            <w:pPr>
              <w:jc w:val="left"/>
            </w:pPr>
            <w:r>
              <w:rPr>
                <w:b w:val="false"/>
                <w:bCs w:val="false"/>
                <w:sz w:val="20"/>
                <w:szCs w:val="20"/>
              </w:rPr>
              <w:t xml:space="preserve">1.0</w:t>
            </w:r>
          </w:p>
        </w:tc>
      </w:tr>
      <w:tr>
        <w:tc>
          <w:tcPr>
            <w:tcW w:type="dxa" w:w="3200"/>
            <w:shd w:fill="F2F2F2" w:val="clear"/>
            <w:tcMar>
              <w:top w:type="dxa" w:w="100"/>
              <w:left w:type="dxa" w:w="120"/>
              <w:bottom w:type="dxa" w:w="100"/>
              <w:right w:type="dxa" w:w="120"/>
            </w:tcMar>
          </w:tcPr>
          <w:p>
            <w:pPr>
              <w:jc w:val="left"/>
            </w:pPr>
            <w:r>
              <w:rPr>
                <w:b w:val="false"/>
                <w:bCs w:val="false"/>
                <w:sz w:val="20"/>
                <w:szCs w:val="20"/>
              </w:rPr>
              <w:t xml:space="preserve">Date</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13 July 2026</w:t>
            </w:r>
          </w:p>
        </w:tc>
      </w:tr>
      <w:tr>
        <w:tc>
          <w:tcPr>
            <w:tcW w:type="dxa" w:w="3200"/>
            <w:tcMar>
              <w:top w:type="dxa" w:w="100"/>
              <w:left w:type="dxa" w:w="120"/>
              <w:bottom w:type="dxa" w:w="100"/>
              <w:right w:type="dxa" w:w="120"/>
            </w:tcMar>
          </w:tcPr>
          <w:p>
            <w:pPr>
              <w:jc w:val="left"/>
            </w:pPr>
            <w:r>
              <w:rPr>
                <w:b w:val="false"/>
                <w:bCs w:val="false"/>
                <w:sz w:val="20"/>
                <w:szCs w:val="20"/>
              </w:rPr>
              <w:t xml:space="preserve">Contributing Stakeholders</w:t>
            </w:r>
          </w:p>
        </w:tc>
        <w:tc>
          <w:tcPr>
            <w:tcW w:type="dxa" w:w="6300"/>
            <w:tcMar>
              <w:top w:type="dxa" w:w="100"/>
              <w:left w:type="dxa" w:w="120"/>
              <w:bottom w:type="dxa" w:w="100"/>
              <w:right w:type="dxa" w:w="120"/>
            </w:tcMar>
          </w:tcPr>
          <w:p>
            <w:pPr>
              <w:jc w:val="left"/>
            </w:pPr>
            <w:r>
              <w:rPr>
                <w:b w:val="false"/>
                <w:bCs w:val="false"/>
                <w:sz w:val="20"/>
                <w:szCs w:val="20"/>
              </w:rPr>
              <w:t xml:space="preserve">CEO, Marketing Manager, Finance Manager, Product Manager, Customer Support Manager</w:t>
            </w:r>
          </w:p>
        </w:tc>
      </w:tr>
    </w:tbl>
    <w:p>
      <w:r>
        <w:br w:type="page"/>
      </w:r>
    </w:p>
    <w:p>
      <w:pPr>
        <w:pStyle w:val="Heading1"/>
        <w:spacing w:after="200" w:before="400"/>
      </w:pPr>
      <w:r>
        <w:t xml:space="preserve">Table of Contents</w:t>
      </w:r>
    </w:p>
    <w:p>
      <w:pPr>
        <w:spacing w:after="160" w:line="276"/>
      </w:pPr>
      <w:r>
        <w:rPr>
          <w:sz w:val="22"/>
          <w:szCs w:val="22"/>
        </w:rPr>
        <w:t xml:space="preserve">1. Executive Summary</w:t>
      </w:r>
    </w:p>
    <w:p>
      <w:pPr>
        <w:spacing w:after="160" w:line="276"/>
      </w:pPr>
      <w:r>
        <w:rPr>
          <w:sz w:val="22"/>
          <w:szCs w:val="22"/>
        </w:rPr>
        <w:t xml:space="preserve">2. Project Background and Business Problem</w:t>
      </w:r>
    </w:p>
    <w:p>
      <w:pPr>
        <w:spacing w:after="160" w:line="276"/>
      </w:pPr>
      <w:r>
        <w:rPr>
          <w:sz w:val="22"/>
          <w:szCs w:val="22"/>
        </w:rPr>
        <w:t xml:space="preserve">3. Objectives of the Analysis</w:t>
      </w:r>
    </w:p>
    <w:p>
      <w:pPr>
        <w:spacing w:after="160" w:line="276"/>
      </w:pPr>
      <w:r>
        <w:rPr>
          <w:sz w:val="22"/>
          <w:szCs w:val="22"/>
        </w:rPr>
        <w:t xml:space="preserve">4. Stakeholder Requirements Summary</w:t>
      </w:r>
    </w:p>
    <w:p>
      <w:pPr>
        <w:spacing w:after="160" w:line="276"/>
      </w:pPr>
      <w:r>
        <w:rPr>
          <w:sz w:val="22"/>
          <w:szCs w:val="22"/>
        </w:rPr>
        <w:t xml:space="preserve">   4.1 CEO — Strategic Perspective</w:t>
      </w:r>
    </w:p>
    <w:p>
      <w:pPr>
        <w:spacing w:after="160" w:line="276"/>
      </w:pPr>
      <w:r>
        <w:rPr>
          <w:sz w:val="22"/>
          <w:szCs w:val="22"/>
        </w:rPr>
        <w:t xml:space="preserve">   4.2 Marketing Department</w:t>
      </w:r>
    </w:p>
    <w:p>
      <w:pPr>
        <w:spacing w:after="160" w:line="276"/>
      </w:pPr>
      <w:r>
        <w:rPr>
          <w:sz w:val="22"/>
          <w:szCs w:val="22"/>
        </w:rPr>
        <w:t xml:space="preserve">   4.3 Finance Department</w:t>
      </w:r>
    </w:p>
    <w:p>
      <w:pPr>
        <w:spacing w:after="160" w:line="276"/>
      </w:pPr>
      <w:r>
        <w:rPr>
          <w:sz w:val="22"/>
          <w:szCs w:val="22"/>
        </w:rPr>
        <w:t xml:space="preserve">   4.4 Product Department</w:t>
      </w:r>
    </w:p>
    <w:p>
      <w:pPr>
        <w:spacing w:after="160" w:line="276"/>
      </w:pPr>
      <w:r>
        <w:rPr>
          <w:sz w:val="22"/>
          <w:szCs w:val="22"/>
        </w:rPr>
        <w:t xml:space="preserve">   4.5 Customer Support Department</w:t>
      </w:r>
    </w:p>
    <w:p>
      <w:pPr>
        <w:spacing w:after="160" w:line="276"/>
      </w:pPr>
      <w:r>
        <w:rPr>
          <w:sz w:val="22"/>
          <w:szCs w:val="22"/>
        </w:rPr>
        <w:t xml:space="preserve">5. Consolidated Business Questions</w:t>
      </w:r>
    </w:p>
    <w:p>
      <w:pPr>
        <w:spacing w:after="160" w:line="276"/>
      </w:pPr>
      <w:r>
        <w:rPr>
          <w:sz w:val="22"/>
          <w:szCs w:val="22"/>
        </w:rPr>
        <w:t xml:space="preserve">6. Data Sources and Known Limitations</w:t>
      </w:r>
    </w:p>
    <w:p>
      <w:pPr>
        <w:spacing w:after="160" w:line="276"/>
      </w:pPr>
      <w:r>
        <w:rPr>
          <w:sz w:val="22"/>
          <w:szCs w:val="22"/>
        </w:rPr>
        <w:t xml:space="preserve">7. Assumptions to Be Validated</w:t>
      </w:r>
    </w:p>
    <w:p>
      <w:pPr>
        <w:spacing w:after="160" w:line="276"/>
      </w:pPr>
      <w:r>
        <w:rPr>
          <w:sz w:val="22"/>
          <w:szCs w:val="22"/>
        </w:rPr>
        <w:t xml:space="preserve">8. Scope of the Analysis</w:t>
      </w:r>
    </w:p>
    <w:p>
      <w:pPr>
        <w:spacing w:after="160" w:line="276"/>
      </w:pPr>
      <w:r>
        <w:rPr>
          <w:sz w:val="22"/>
          <w:szCs w:val="22"/>
        </w:rPr>
        <w:t xml:space="preserve">9. Deliverables</w:t>
      </w:r>
    </w:p>
    <w:p>
      <w:pPr>
        <w:spacing w:after="160" w:line="276"/>
      </w:pPr>
      <w:r>
        <w:rPr>
          <w:sz w:val="22"/>
          <w:szCs w:val="22"/>
        </w:rPr>
        <w:t xml:space="preserve">10. Key Performance Indicators by Department</w:t>
      </w:r>
    </w:p>
    <w:p>
      <w:pPr>
        <w:spacing w:after="160" w:line="276"/>
      </w:pPr>
      <w:r>
        <w:rPr>
          <w:sz w:val="22"/>
          <w:szCs w:val="22"/>
        </w:rPr>
        <w:t xml:space="preserve">11. Constraints and Timeline</w:t>
      </w:r>
    </w:p>
    <w:p>
      <w:pPr>
        <w:spacing w:after="160" w:line="276"/>
      </w:pPr>
      <w:r>
        <w:rPr>
          <w:sz w:val="22"/>
          <w:szCs w:val="22"/>
        </w:rPr>
        <w:t xml:space="preserve">12. Success Criteria</w:t>
      </w:r>
    </w:p>
    <w:p>
      <w:r>
        <w:br w:type="page"/>
      </w:r>
    </w:p>
    <w:p>
      <w:pPr>
        <w:pStyle w:val="Heading1"/>
        <w:spacing w:after="200" w:before="400"/>
      </w:pPr>
      <w:r>
        <w:t xml:space="preserve">1. Executive Summary</w:t>
      </w:r>
    </w:p>
    <w:p>
      <w:pPr>
        <w:spacing w:after="160" w:line="276"/>
      </w:pPr>
      <w:r>
        <w:rPr>
          <w:sz w:val="22"/>
          <w:szCs w:val="22"/>
        </w:rPr>
        <w:t xml:space="preserve">This Business Requirements Document (BRD) consolidates the requirements gathered from five stakeholder requirement-gathering sessions conducted with the CEO, Marketing, Finance, Product, and Customer Support departments as part of the Customer Churn Analytics Initiative for FY2025.</w:t>
      </w:r>
    </w:p>
    <w:p>
      <w:pPr>
        <w:spacing w:after="160" w:line="276"/>
      </w:pPr>
      <w:r>
        <w:rPr>
          <w:sz w:val="22"/>
          <w:szCs w:val="22"/>
        </w:rPr>
        <w:t xml:space="preserve">Across all departments, a common theme emerged: customer churn is increasing, but its root causes, financial impact, and the most effective response are not yet understood using data. Each department views churn through a different lens — the CEO from an overall business performance perspective, Marketing from an acquisition and channel efficiency perspective, Finance from a revenue and profitability perspective, Product from a subscription and customer experience perspective, and Customer Support from a service and satisfaction perspective.</w:t>
      </w:r>
    </w:p>
    <w:p>
      <w:pPr>
        <w:spacing w:after="160" w:line="276"/>
      </w:pPr>
      <w:r>
        <w:rPr>
          <w:sz w:val="22"/>
          <w:szCs w:val="22"/>
        </w:rPr>
        <w:t xml:space="preserve">The Data Analytics Team is expected to deliver a single, integrated analysis that answers each department's priority questions, validates or rejects existing assumptions with evidence, and produces specific, actionable recommendations rather than descriptive findings alone. The analysis will directly inform the FY2026 annual budgeting process and the FY2026 product roadmap, both of which have defined deadlines.</w:t>
      </w:r>
    </w:p>
    <w:p>
      <w:pPr>
        <w:pStyle w:val="Heading1"/>
        <w:spacing w:after="200" w:before="400"/>
      </w:pPr>
      <w:r>
        <w:t xml:space="preserve">2. Project Background and Business Problem</w:t>
      </w:r>
    </w:p>
    <w:p>
      <w:pPr>
        <w:spacing w:after="160" w:line="276"/>
      </w:pPr>
      <w:r>
        <w:rPr>
          <w:sz w:val="22"/>
          <w:szCs w:val="22"/>
        </w:rPr>
        <w:t xml:space="preserve">Over the past one to two years, the organization has observed the following pattern across departments:</w:t>
      </w:r>
    </w:p>
    <w:p>
      <w:pPr>
        <w:pStyle w:val="ListParagraph"/>
        <w:numPr>
          <w:ilvl w:val="0"/>
          <w:numId w:val="2"/>
        </w:numPr>
        <w:spacing w:after="80" w:line="276"/>
      </w:pPr>
      <w:r>
        <w:rPr>
          <w:sz w:val="22"/>
          <w:szCs w:val="22"/>
        </w:rPr>
        <w:t xml:space="preserve">Customer acquisition volume has increased, but return on marketing investment (ROI) has declined.</w:t>
      </w:r>
    </w:p>
    <w:p>
      <w:pPr>
        <w:pStyle w:val="ListParagraph"/>
        <w:numPr>
          <w:ilvl w:val="0"/>
          <w:numId w:val="2"/>
        </w:numPr>
        <w:spacing w:after="80" w:line="276"/>
      </w:pPr>
      <w:r>
        <w:rPr>
          <w:sz w:val="22"/>
          <w:szCs w:val="22"/>
        </w:rPr>
        <w:t xml:space="preserve">Revenue growth has slowed despite steady growth in new subscribers.</w:t>
      </w:r>
    </w:p>
    <w:p>
      <w:pPr>
        <w:pStyle w:val="ListParagraph"/>
        <w:numPr>
          <w:ilvl w:val="0"/>
          <w:numId w:val="2"/>
        </w:numPr>
        <w:spacing w:after="80" w:line="276"/>
      </w:pPr>
      <w:r>
        <w:rPr>
          <w:sz w:val="22"/>
          <w:szCs w:val="22"/>
        </w:rPr>
        <w:t xml:space="preserve">Customer churn has increased, but the underlying drivers — pricing, product experience, support quality, or acquisition channel quality — have not been validated with data.</w:t>
      </w:r>
    </w:p>
    <w:p>
      <w:pPr>
        <w:pStyle w:val="ListParagraph"/>
        <w:numPr>
          <w:ilvl w:val="0"/>
          <w:numId w:val="2"/>
        </w:numPr>
        <w:spacing w:after="80" w:line="276"/>
      </w:pPr>
      <w:r>
        <w:rPr>
          <w:sz w:val="22"/>
          <w:szCs w:val="22"/>
        </w:rPr>
        <w:t xml:space="preserve">Decisions across Marketing, Finance, Product, and Customer Support are currently being made on assumptions rather than evidence, including equal budget allocation across acquisition channels and uniform prioritization of all customer complaints.</w:t>
      </w:r>
    </w:p>
    <w:p>
      <w:pPr>
        <w:spacing w:after="160" w:line="276"/>
      </w:pPr>
      <w:r>
        <w:rPr>
          <w:sz w:val="22"/>
          <w:szCs w:val="22"/>
        </w:rPr>
        <w:t xml:space="preserve">The business problem is not only that customers are leaving, but that the organization lacks visibility into who is leaving, why they are leaving, which parts of the business are most affected, and where intervention would generate the greatest return.</w:t>
      </w:r>
    </w:p>
    <w:p>
      <w:pPr>
        <w:pStyle w:val="Heading1"/>
        <w:spacing w:after="200" w:before="400"/>
      </w:pPr>
      <w:r>
        <w:t xml:space="preserve">3. Objectives of the Analysis</w:t>
      </w:r>
    </w:p>
    <w:p>
      <w:pPr>
        <w:spacing w:after="160" w:line="276"/>
      </w:pPr>
      <w:r>
        <w:rPr>
          <w:sz w:val="22"/>
          <w:szCs w:val="22"/>
        </w:rPr>
        <w:t xml:space="preserve">The Customer Churn Analytics Initiative is expected to achieve the following objectives:</w:t>
      </w:r>
    </w:p>
    <w:p>
      <w:pPr>
        <w:pStyle w:val="ListParagraph"/>
        <w:numPr>
          <w:ilvl w:val="0"/>
          <w:numId w:val="3"/>
        </w:numPr>
        <w:spacing w:after="80" w:line="276"/>
      </w:pPr>
      <w:r>
        <w:rPr>
          <w:sz w:val="22"/>
          <w:szCs w:val="22"/>
        </w:rPr>
        <w:t xml:space="preserve">Identify the primary drivers of customer churn using evidence rather than assumption.</w:t>
      </w:r>
    </w:p>
    <w:p>
      <w:pPr>
        <w:pStyle w:val="ListParagraph"/>
        <w:numPr>
          <w:ilvl w:val="0"/>
          <w:numId w:val="3"/>
        </w:numPr>
        <w:spacing w:after="80" w:line="276"/>
      </w:pPr>
      <w:r>
        <w:rPr>
          <w:sz w:val="22"/>
          <w:szCs w:val="22"/>
        </w:rPr>
        <w:t xml:space="preserve">Identify which customers, segments, and acquisition channels carry the highest churn risk and the highest business value.</w:t>
      </w:r>
    </w:p>
    <w:p>
      <w:pPr>
        <w:pStyle w:val="ListParagraph"/>
        <w:numPr>
          <w:ilvl w:val="0"/>
          <w:numId w:val="3"/>
        </w:numPr>
        <w:spacing w:after="80" w:line="276"/>
      </w:pPr>
      <w:r>
        <w:rPr>
          <w:sz w:val="22"/>
          <w:szCs w:val="22"/>
        </w:rPr>
        <w:t xml:space="preserve">Quantify the financial impact of churn on recurring revenue and customer lifetime value.</w:t>
      </w:r>
    </w:p>
    <w:p>
      <w:pPr>
        <w:pStyle w:val="ListParagraph"/>
        <w:numPr>
          <w:ilvl w:val="0"/>
          <w:numId w:val="3"/>
        </w:numPr>
        <w:spacing w:after="80" w:line="276"/>
      </w:pPr>
      <w:r>
        <w:rPr>
          <w:sz w:val="22"/>
          <w:szCs w:val="22"/>
        </w:rPr>
        <w:t xml:space="preserve">Evaluate whether customer support interactions and complaint patterns contribute to churn.</w:t>
      </w:r>
    </w:p>
    <w:p>
      <w:pPr>
        <w:pStyle w:val="ListParagraph"/>
        <w:numPr>
          <w:ilvl w:val="0"/>
          <w:numId w:val="3"/>
        </w:numPr>
        <w:spacing w:after="80" w:line="276"/>
      </w:pPr>
      <w:r>
        <w:rPr>
          <w:sz w:val="22"/>
          <w:szCs w:val="22"/>
        </w:rPr>
        <w:t xml:space="preserve">Evaluate the performance of subscription plans and acquisition channels from a retention and profitability standpoint.</w:t>
      </w:r>
    </w:p>
    <w:p>
      <w:pPr>
        <w:pStyle w:val="ListParagraph"/>
        <w:numPr>
          <w:ilvl w:val="0"/>
          <w:numId w:val="3"/>
        </w:numPr>
        <w:spacing w:after="80" w:line="276"/>
      </w:pPr>
      <w:r>
        <w:rPr>
          <w:sz w:val="22"/>
          <w:szCs w:val="22"/>
        </w:rPr>
        <w:t xml:space="preserve">Provide segment-level and action-level recommendations that Marketing, Finance, Product, and Customer Support can implement directly.</w:t>
      </w:r>
    </w:p>
    <w:p>
      <w:pPr>
        <w:pStyle w:val="ListParagraph"/>
        <w:numPr>
          <w:ilvl w:val="0"/>
          <w:numId w:val="3"/>
        </w:numPr>
        <w:spacing w:after="80" w:line="276"/>
      </w:pPr>
      <w:r>
        <w:rPr>
          <w:sz w:val="22"/>
          <w:szCs w:val="22"/>
        </w:rPr>
        <w:t xml:space="preserve">Support the FY2026 annual budgeting process and the FY2026 product roadmap with timely, evidence-based findings.</w:t>
      </w:r>
    </w:p>
    <w:p>
      <w:pPr>
        <w:pStyle w:val="Heading1"/>
        <w:spacing w:after="200" w:before="400"/>
      </w:pPr>
      <w:r>
        <w:t xml:space="preserve">4. Stakeholder Requirements Summary</w:t>
      </w:r>
    </w:p>
    <w:p>
      <w:pPr>
        <w:spacing w:after="160" w:line="276"/>
      </w:pPr>
      <w:r>
        <w:rPr>
          <w:sz w:val="22"/>
          <w:szCs w:val="22"/>
        </w:rPr>
        <w:t xml:space="preserve">This section summarizes the requirements, concerns, and expectations gathered from each stakeholder meeting.</w:t>
      </w:r>
    </w:p>
    <w:p>
      <w:pPr>
        <w:pStyle w:val="Heading2"/>
        <w:spacing w:after="150" w:before="300"/>
      </w:pPr>
      <w:r>
        <w:t xml:space="preserve">4.1 CEO — Strategic Perspective</w:t>
      </w:r>
    </w:p>
    <w:p>
      <w:pPr>
        <w:spacing w:after="160" w:line="276"/>
      </w:pPr>
      <w:r>
        <w:rPr>
          <w:sz w:val="22"/>
          <w:szCs w:val="22"/>
        </w:rPr>
        <w:t xml:space="preserve">The CEO has framed customer churn as a top-level business priority and expects the Data Analytics Team to answer the following questions at an organizational level:</w:t>
      </w:r>
    </w:p>
    <w:p>
      <w:pPr>
        <w:pStyle w:val="ListParagraph"/>
        <w:numPr>
          <w:ilvl w:val="0"/>
          <w:numId w:val="2"/>
        </w:numPr>
        <w:spacing w:after="80" w:line="276"/>
      </w:pPr>
      <w:r>
        <w:rPr>
          <w:sz w:val="22"/>
          <w:szCs w:val="22"/>
        </w:rPr>
        <w:t xml:space="preserve">Why are customers cancelling their subscriptions?</w:t>
      </w:r>
    </w:p>
    <w:p>
      <w:pPr>
        <w:pStyle w:val="ListParagraph"/>
        <w:numPr>
          <w:ilvl w:val="0"/>
          <w:numId w:val="2"/>
        </w:numPr>
        <w:spacing w:after="80" w:line="276"/>
      </w:pPr>
      <w:r>
        <w:rPr>
          <w:sz w:val="22"/>
          <w:szCs w:val="22"/>
        </w:rPr>
        <w:t xml:space="preserve">Which customers are most likely to leave?</w:t>
      </w:r>
    </w:p>
    <w:p>
      <w:pPr>
        <w:pStyle w:val="ListParagraph"/>
        <w:numPr>
          <w:ilvl w:val="0"/>
          <w:numId w:val="2"/>
        </w:numPr>
        <w:spacing w:after="80" w:line="276"/>
      </w:pPr>
      <w:r>
        <w:rPr>
          <w:sz w:val="22"/>
          <w:szCs w:val="22"/>
        </w:rPr>
        <w:t xml:space="preserve">Which subscription plans perform poorly?</w:t>
      </w:r>
    </w:p>
    <w:p>
      <w:pPr>
        <w:pStyle w:val="ListParagraph"/>
        <w:numPr>
          <w:ilvl w:val="0"/>
          <w:numId w:val="2"/>
        </w:numPr>
        <w:spacing w:after="80" w:line="276"/>
      </w:pPr>
      <w:r>
        <w:rPr>
          <w:sz w:val="22"/>
          <w:szCs w:val="22"/>
        </w:rPr>
        <w:t xml:space="preserve">Are customer complaints contributing to churn?</w:t>
      </w:r>
    </w:p>
    <w:p>
      <w:pPr>
        <w:pStyle w:val="ListParagraph"/>
        <w:numPr>
          <w:ilvl w:val="0"/>
          <w:numId w:val="2"/>
        </w:numPr>
        <w:spacing w:after="80" w:line="276"/>
      </w:pPr>
      <w:r>
        <w:rPr>
          <w:sz w:val="22"/>
          <w:szCs w:val="22"/>
        </w:rPr>
        <w:t xml:space="preserve">Which customer segments should be prioritized for retention?</w:t>
      </w:r>
    </w:p>
    <w:p>
      <w:pPr>
        <w:pStyle w:val="ListParagraph"/>
        <w:numPr>
          <w:ilvl w:val="0"/>
          <w:numId w:val="2"/>
        </w:numPr>
        <w:spacing w:after="80" w:line="276"/>
      </w:pPr>
      <w:r>
        <w:rPr>
          <w:sz w:val="22"/>
          <w:szCs w:val="22"/>
        </w:rPr>
        <w:t xml:space="preserve">What actions should management take to reduce churn?</w:t>
      </w:r>
    </w:p>
    <w:p>
      <w:pPr>
        <w:spacing w:after="160" w:line="276"/>
      </w:pPr>
      <w:r>
        <w:rPr>
          <w:sz w:val="22"/>
          <w:szCs w:val="22"/>
        </w:rPr>
        <w:t xml:space="preserve">This meeting establishes the overall business mandate for the initiative. The remaining departmental requirements below represent how each function needs these questions answered in order to act on the findings.</w:t>
      </w:r>
    </w:p>
    <w:p>
      <w:pPr>
        <w:pStyle w:val="Heading2"/>
        <w:spacing w:after="150" w:before="300"/>
      </w:pPr>
      <w:r>
        <w:t xml:space="preserve">4.2 Marketing Department</w:t>
      </w:r>
    </w:p>
    <w:p>
      <w:pPr>
        <w:spacing w:after="160" w:line="276"/>
      </w:pPr>
      <w:r>
        <w:rPr>
          <w:sz w:val="22"/>
          <w:szCs w:val="22"/>
        </w:rPr>
        <w:t xml:space="preserve">Marketing is responsible for customer acquisition and retention. Their central concern is that Customer Acquisition Cost (CAC) has increased while many newly acquired customers churn before the acquisition cost is recovered. Marketing currently allocates budget equally across acquisition channels due to a lack of evidence on long-term channel performance.</w:t>
      </w:r>
    </w:p>
    <w:p>
      <w:pPr>
        <w:pStyle w:val="Heading3"/>
        <w:spacing w:after="100" w:before="200"/>
      </w:pPr>
      <w:r>
        <w:t xml:space="preserve">Key concerns raised</w:t>
      </w:r>
    </w:p>
    <w:p>
      <w:pPr>
        <w:pStyle w:val="ListParagraph"/>
        <w:numPr>
          <w:ilvl w:val="0"/>
          <w:numId w:val="2"/>
        </w:numPr>
        <w:spacing w:after="80" w:line="276"/>
      </w:pPr>
      <w:r>
        <w:rPr>
          <w:sz w:val="22"/>
          <w:szCs w:val="22"/>
        </w:rPr>
        <w:t xml:space="preserve">CAC has increased.</w:t>
      </w:r>
    </w:p>
    <w:p>
      <w:pPr>
        <w:pStyle w:val="ListParagraph"/>
        <w:numPr>
          <w:ilvl w:val="0"/>
          <w:numId w:val="2"/>
        </w:numPr>
        <w:spacing w:after="80" w:line="276"/>
      </w:pPr>
      <w:r>
        <w:rPr>
          <w:sz w:val="22"/>
          <w:szCs w:val="22"/>
        </w:rPr>
        <w:t xml:space="preserve">Referral campaigns appear promising, but there is no supporting data.</w:t>
      </w:r>
    </w:p>
    <w:p>
      <w:pPr>
        <w:pStyle w:val="ListParagraph"/>
        <w:numPr>
          <w:ilvl w:val="0"/>
          <w:numId w:val="2"/>
        </w:numPr>
        <w:spacing w:after="80" w:line="276"/>
      </w:pPr>
      <w:r>
        <w:rPr>
          <w:sz w:val="22"/>
          <w:szCs w:val="22"/>
        </w:rPr>
        <w:t xml:space="preserve">Paid campaigns consume the largest share of the marketing budget.</w:t>
      </w:r>
    </w:p>
    <w:p>
      <w:pPr>
        <w:pStyle w:val="ListParagraph"/>
        <w:numPr>
          <w:ilvl w:val="0"/>
          <w:numId w:val="2"/>
        </w:numPr>
        <w:spacing w:after="80" w:line="276"/>
      </w:pPr>
      <w:r>
        <w:rPr>
          <w:sz w:val="22"/>
          <w:szCs w:val="22"/>
        </w:rPr>
        <w:t xml:space="preserve">Organic traffic is growing steadily.</w:t>
      </w:r>
    </w:p>
    <w:p>
      <w:pPr>
        <w:pStyle w:val="ListParagraph"/>
        <w:numPr>
          <w:ilvl w:val="0"/>
          <w:numId w:val="2"/>
        </w:numPr>
        <w:spacing w:after="80" w:line="276"/>
      </w:pPr>
      <w:r>
        <w:rPr>
          <w:sz w:val="22"/>
          <w:szCs w:val="22"/>
        </w:rPr>
        <w:t xml:space="preserve">Retention varies significantly across acquisition channels.</w:t>
      </w:r>
    </w:p>
    <w:p>
      <w:pPr>
        <w:pStyle w:val="ListParagraph"/>
        <w:numPr>
          <w:ilvl w:val="0"/>
          <w:numId w:val="2"/>
        </w:numPr>
        <w:spacing w:after="80" w:line="276"/>
      </w:pPr>
      <w:r>
        <w:rPr>
          <w:sz w:val="22"/>
          <w:szCs w:val="22"/>
        </w:rPr>
        <w:t xml:space="preserve">There is no clear customer segmentation for targeted campaigns.</w:t>
      </w:r>
    </w:p>
    <w:p>
      <w:pPr>
        <w:pStyle w:val="Heading3"/>
        <w:spacing w:after="100" w:before="200"/>
      </w:pPr>
      <w:r>
        <w:t xml:space="preserve">Business questions Marketing expects answered</w:t>
      </w:r>
    </w:p>
    <w:p>
      <w:pPr>
        <w:pStyle w:val="ListParagraph"/>
        <w:numPr>
          <w:ilvl w:val="0"/>
          <w:numId w:val="2"/>
        </w:numPr>
        <w:spacing w:after="80" w:line="276"/>
      </w:pPr>
      <w:r>
        <w:rPr>
          <w:sz w:val="22"/>
          <w:szCs w:val="22"/>
        </w:rPr>
        <w:t xml:space="preserve">Which acquisition channel brings the highest-quality customers?</w:t>
      </w:r>
    </w:p>
    <w:p>
      <w:pPr>
        <w:pStyle w:val="ListParagraph"/>
        <w:numPr>
          <w:ilvl w:val="0"/>
          <w:numId w:val="2"/>
        </w:numPr>
        <w:spacing w:after="80" w:line="276"/>
      </w:pPr>
      <w:r>
        <w:rPr>
          <w:sz w:val="22"/>
          <w:szCs w:val="22"/>
        </w:rPr>
        <w:t xml:space="preserve">Which acquisition channel has the highest churn rate?</w:t>
      </w:r>
    </w:p>
    <w:p>
      <w:pPr>
        <w:pStyle w:val="ListParagraph"/>
        <w:numPr>
          <w:ilvl w:val="0"/>
          <w:numId w:val="2"/>
        </w:numPr>
        <w:spacing w:after="80" w:line="276"/>
      </w:pPr>
      <w:r>
        <w:rPr>
          <w:sz w:val="22"/>
          <w:szCs w:val="22"/>
        </w:rPr>
        <w:t xml:space="preserve">Which customers generate the highest Customer Lifetime Value (CLTV)?</w:t>
      </w:r>
    </w:p>
    <w:p>
      <w:pPr>
        <w:pStyle w:val="ListParagraph"/>
        <w:numPr>
          <w:ilvl w:val="0"/>
          <w:numId w:val="2"/>
        </w:numPr>
        <w:spacing w:after="80" w:line="276"/>
      </w:pPr>
      <w:r>
        <w:rPr>
          <w:sz w:val="22"/>
          <w:szCs w:val="22"/>
        </w:rPr>
        <w:t xml:space="preserve">Are referral customers more loyal than paid customers?</w:t>
      </w:r>
    </w:p>
    <w:p>
      <w:pPr>
        <w:pStyle w:val="ListParagraph"/>
        <w:numPr>
          <w:ilvl w:val="0"/>
          <w:numId w:val="2"/>
        </w:numPr>
        <w:spacing w:after="80" w:line="276"/>
      </w:pPr>
      <w:r>
        <w:rPr>
          <w:sz w:val="22"/>
          <w:szCs w:val="22"/>
        </w:rPr>
        <w:t xml:space="preserve">Which customer segments should receive retention campaigns?</w:t>
      </w:r>
    </w:p>
    <w:p>
      <w:pPr>
        <w:pStyle w:val="ListParagraph"/>
        <w:numPr>
          <w:ilvl w:val="0"/>
          <w:numId w:val="2"/>
        </w:numPr>
        <w:spacing w:after="80" w:line="276"/>
      </w:pPr>
      <w:r>
        <w:rPr>
          <w:sz w:val="22"/>
          <w:szCs w:val="22"/>
        </w:rPr>
        <w:t xml:space="preserve">Which geographic regions deserve more marketing investment?</w:t>
      </w:r>
    </w:p>
    <w:p>
      <w:pPr>
        <w:pStyle w:val="ListParagraph"/>
        <w:numPr>
          <w:ilvl w:val="0"/>
          <w:numId w:val="2"/>
        </w:numPr>
        <w:spacing w:after="80" w:line="276"/>
      </w:pPr>
      <w:r>
        <w:rPr>
          <w:sz w:val="22"/>
          <w:szCs w:val="22"/>
        </w:rPr>
        <w:t xml:space="preserve">Do younger and older customers respond differently to campaigns?</w:t>
      </w:r>
    </w:p>
    <w:p>
      <w:pPr>
        <w:pStyle w:val="ListParagraph"/>
        <w:numPr>
          <w:ilvl w:val="0"/>
          <w:numId w:val="2"/>
        </w:numPr>
        <w:spacing w:after="80" w:line="276"/>
      </w:pPr>
      <w:r>
        <w:rPr>
          <w:sz w:val="22"/>
          <w:szCs w:val="22"/>
        </w:rPr>
        <w:t xml:space="preserve">Which subscription plans are most profitable from a marketing perspective?</w:t>
      </w:r>
    </w:p>
    <w:p>
      <w:pPr>
        <w:pStyle w:val="Heading3"/>
        <w:spacing w:after="100" w:before="200"/>
      </w:pPr>
      <w:r>
        <w:t xml:space="preserve">Clarifications obtained</w:t>
      </w:r>
    </w:p>
    <w:p>
      <w:pPr>
        <w:pStyle w:val="ListParagraph"/>
        <w:numPr>
          <w:ilvl w:val="0"/>
          <w:numId w:val="2"/>
        </w:numPr>
        <w:spacing w:after="80" w:line="276"/>
      </w:pPr>
      <w:r>
        <w:rPr>
          <w:sz w:val="22"/>
          <w:szCs w:val="22"/>
        </w:rPr>
        <w:t xml:space="preserve">Budget can be reallocated immediately if a channel is proven to outperform, though major shifts are more likely aligned to planning cycles.</w:t>
      </w:r>
    </w:p>
    <w:p>
      <w:pPr>
        <w:pStyle w:val="ListParagraph"/>
        <w:numPr>
          <w:ilvl w:val="0"/>
          <w:numId w:val="2"/>
        </w:numPr>
        <w:spacing w:after="80" w:line="276"/>
      </w:pPr>
      <w:r>
        <w:rPr>
          <w:sz w:val="22"/>
          <w:szCs w:val="22"/>
        </w:rPr>
        <w:t xml:space="preserve">Paid campaigns should be evaluated at the platform level, not as a single combined group, where possible.</w:t>
      </w:r>
    </w:p>
    <w:p>
      <w:pPr>
        <w:pStyle w:val="ListParagraph"/>
        <w:numPr>
          <w:ilvl w:val="0"/>
          <w:numId w:val="2"/>
        </w:numPr>
        <w:spacing w:after="80" w:line="276"/>
      </w:pPr>
      <w:r>
        <w:rPr>
          <w:sz w:val="22"/>
          <w:szCs w:val="22"/>
        </w:rPr>
        <w:t xml:space="preserve">Regional investment decisions are made by Marketing but may involve coordination with Sales/Business teams.</w:t>
      </w:r>
    </w:p>
    <w:p>
      <w:pPr>
        <w:pStyle w:val="ListParagraph"/>
        <w:numPr>
          <w:ilvl w:val="0"/>
          <w:numId w:val="2"/>
        </w:numPr>
        <w:spacing w:after="80" w:line="276"/>
      </w:pPr>
      <w:r>
        <w:rPr>
          <w:sz w:val="22"/>
          <w:szCs w:val="22"/>
        </w:rPr>
        <w:t xml:space="preserve">Profitability from a marketing perspective should ultimately reflect net profitability (CLTV net of acquisition and campaign cost), not gross CLTV alone.</w:t>
      </w:r>
    </w:p>
    <w:p>
      <w:pPr>
        <w:pStyle w:val="Heading2"/>
        <w:spacing w:after="150" w:before="300"/>
      </w:pPr>
      <w:r>
        <w:t xml:space="preserve">4.3 Finance Department</w:t>
      </w:r>
    </w:p>
    <w:p>
      <w:pPr>
        <w:spacing w:after="160" w:line="276"/>
      </w:pPr>
      <w:r>
        <w:rPr>
          <w:sz w:val="22"/>
          <w:szCs w:val="22"/>
        </w:rPr>
        <w:t xml:space="preserve">Finance views churn primarily as a revenue and profitability issue. Revenue growth has slowed despite steady growth in new subscribers, and Finance suspects churn is reducing the overall value generated from the customer base. Budgeting currently assumes a predictable subscription duration, an assumption that rising churn has undermined.</w:t>
      </w:r>
    </w:p>
    <w:p>
      <w:pPr>
        <w:pStyle w:val="Heading3"/>
        <w:spacing w:after="100" w:before="200"/>
      </w:pPr>
      <w:r>
        <w:t xml:space="preserve">Key concerns raised</w:t>
      </w:r>
    </w:p>
    <w:p>
      <w:pPr>
        <w:pStyle w:val="ListParagraph"/>
        <w:numPr>
          <w:ilvl w:val="0"/>
          <w:numId w:val="2"/>
        </w:numPr>
        <w:spacing w:after="80" w:line="276"/>
      </w:pPr>
      <w:r>
        <w:rPr>
          <w:sz w:val="22"/>
          <w:szCs w:val="22"/>
        </w:rPr>
        <w:t xml:space="preserve">Revenue growth has slowed.</w:t>
      </w:r>
    </w:p>
    <w:p>
      <w:pPr>
        <w:pStyle w:val="ListParagraph"/>
        <w:numPr>
          <w:ilvl w:val="0"/>
          <w:numId w:val="2"/>
        </w:numPr>
        <w:spacing w:after="80" w:line="276"/>
      </w:pPr>
      <w:r>
        <w:rPr>
          <w:sz w:val="22"/>
          <w:szCs w:val="22"/>
        </w:rPr>
        <w:t xml:space="preserve">Customer Lifetime Value (CLTV) has declined.</w:t>
      </w:r>
    </w:p>
    <w:p>
      <w:pPr>
        <w:pStyle w:val="ListParagraph"/>
        <w:numPr>
          <w:ilvl w:val="0"/>
          <w:numId w:val="2"/>
        </w:numPr>
        <w:spacing w:after="80" w:line="276"/>
      </w:pPr>
      <w:r>
        <w:rPr>
          <w:sz w:val="22"/>
          <w:szCs w:val="22"/>
        </w:rPr>
        <w:t xml:space="preserve">It is unclear whether premium plans, despite generating higher revenue, also experience higher churn.</w:t>
      </w:r>
    </w:p>
    <w:p>
      <w:pPr>
        <w:pStyle w:val="ListParagraph"/>
        <w:numPr>
          <w:ilvl w:val="0"/>
          <w:numId w:val="2"/>
        </w:numPr>
        <w:spacing w:after="80" w:line="276"/>
      </w:pPr>
      <w:r>
        <w:rPr>
          <w:sz w:val="22"/>
          <w:szCs w:val="22"/>
        </w:rPr>
        <w:t xml:space="preserve">Some customers cancel before acquisition cost is recovered.</w:t>
      </w:r>
    </w:p>
    <w:p>
      <w:pPr>
        <w:pStyle w:val="ListParagraph"/>
        <w:numPr>
          <w:ilvl w:val="0"/>
          <w:numId w:val="2"/>
        </w:numPr>
        <w:spacing w:after="80" w:line="276"/>
      </w:pPr>
      <w:r>
        <w:rPr>
          <w:sz w:val="22"/>
          <w:szCs w:val="22"/>
        </w:rPr>
        <w:t xml:space="preserve">It is unclear which customer segments generate the highest long-term value.</w:t>
      </w:r>
    </w:p>
    <w:p>
      <w:pPr>
        <w:pStyle w:val="ListParagraph"/>
        <w:numPr>
          <w:ilvl w:val="0"/>
          <w:numId w:val="2"/>
        </w:numPr>
        <w:spacing w:after="80" w:line="276"/>
      </w:pPr>
      <w:r>
        <w:rPr>
          <w:sz w:val="22"/>
          <w:szCs w:val="22"/>
        </w:rPr>
        <w:t xml:space="preserve">Revenue forecasting has become more difficult due to unpredictable churn.</w:t>
      </w:r>
    </w:p>
    <w:p>
      <w:pPr>
        <w:pStyle w:val="Heading3"/>
        <w:spacing w:after="100" w:before="200"/>
      </w:pPr>
      <w:r>
        <w:t xml:space="preserve">Business questions Finance expects answered</w:t>
      </w:r>
    </w:p>
    <w:p>
      <w:pPr>
        <w:pStyle w:val="ListParagraph"/>
        <w:numPr>
          <w:ilvl w:val="0"/>
          <w:numId w:val="2"/>
        </w:numPr>
        <w:spacing w:after="80" w:line="276"/>
      </w:pPr>
      <w:r>
        <w:rPr>
          <w:sz w:val="22"/>
          <w:szCs w:val="22"/>
        </w:rPr>
        <w:t xml:space="preserve">Which customer segments contribute the highest lifetime value?</w:t>
      </w:r>
    </w:p>
    <w:p>
      <w:pPr>
        <w:pStyle w:val="ListParagraph"/>
        <w:numPr>
          <w:ilvl w:val="0"/>
          <w:numId w:val="2"/>
        </w:numPr>
        <w:spacing w:after="80" w:line="276"/>
      </w:pPr>
      <w:r>
        <w:rPr>
          <w:sz w:val="22"/>
          <w:szCs w:val="22"/>
        </w:rPr>
        <w:t xml:space="preserve">Which subscription plans generate the highest long-term revenue?</w:t>
      </w:r>
    </w:p>
    <w:p>
      <w:pPr>
        <w:pStyle w:val="ListParagraph"/>
        <w:numPr>
          <w:ilvl w:val="0"/>
          <w:numId w:val="2"/>
        </w:numPr>
        <w:spacing w:after="80" w:line="276"/>
      </w:pPr>
      <w:r>
        <w:rPr>
          <w:sz w:val="22"/>
          <w:szCs w:val="22"/>
        </w:rPr>
        <w:t xml:space="preserve">How much potential revenue is lost due to churn?</w:t>
      </w:r>
    </w:p>
    <w:p>
      <w:pPr>
        <w:pStyle w:val="ListParagraph"/>
        <w:numPr>
          <w:ilvl w:val="0"/>
          <w:numId w:val="2"/>
        </w:numPr>
        <w:spacing w:after="80" w:line="276"/>
      </w:pPr>
      <w:r>
        <w:rPr>
          <w:sz w:val="22"/>
          <w:szCs w:val="22"/>
        </w:rPr>
        <w:t xml:space="preserve">Which customer segments should receive retention investment?</w:t>
      </w:r>
    </w:p>
    <w:p>
      <w:pPr>
        <w:pStyle w:val="ListParagraph"/>
        <w:numPr>
          <w:ilvl w:val="0"/>
          <w:numId w:val="2"/>
        </w:numPr>
        <w:spacing w:after="80" w:line="276"/>
      </w:pPr>
      <w:r>
        <w:rPr>
          <w:sz w:val="22"/>
          <w:szCs w:val="22"/>
        </w:rPr>
        <w:t xml:space="preserve">Are high-paying customers at risk of leaving?</w:t>
      </w:r>
    </w:p>
    <w:p>
      <w:pPr>
        <w:pStyle w:val="ListParagraph"/>
        <w:numPr>
          <w:ilvl w:val="0"/>
          <w:numId w:val="2"/>
        </w:numPr>
        <w:spacing w:after="80" w:line="276"/>
      </w:pPr>
      <w:r>
        <w:rPr>
          <w:sz w:val="22"/>
          <w:szCs w:val="22"/>
        </w:rPr>
        <w:t xml:space="preserve">Does contract type (Monthly vs. Annual) affect long-term profitability?</w:t>
      </w:r>
    </w:p>
    <w:p>
      <w:pPr>
        <w:pStyle w:val="ListParagraph"/>
        <w:numPr>
          <w:ilvl w:val="0"/>
          <w:numId w:val="2"/>
        </w:numPr>
        <w:spacing w:after="80" w:line="276"/>
      </w:pPr>
      <w:r>
        <w:rPr>
          <w:sz w:val="22"/>
          <w:szCs w:val="22"/>
        </w:rPr>
        <w:t xml:space="preserve">Which regions contribute the highest revenue?</w:t>
      </w:r>
    </w:p>
    <w:p>
      <w:pPr>
        <w:pStyle w:val="ListParagraph"/>
        <w:numPr>
          <w:ilvl w:val="0"/>
          <w:numId w:val="2"/>
        </w:numPr>
        <w:spacing w:after="80" w:line="276"/>
      </w:pPr>
      <w:r>
        <w:rPr>
          <w:sz w:val="22"/>
          <w:szCs w:val="22"/>
        </w:rPr>
        <w:t xml:space="preserve">How can Finance use this analysis to improve revenue forecasting?</w:t>
      </w:r>
    </w:p>
    <w:p>
      <w:pPr>
        <w:pStyle w:val="Heading3"/>
        <w:spacing w:after="100" w:before="200"/>
      </w:pPr>
      <w:r>
        <w:t xml:space="preserve">Clarifications obtained</w:t>
      </w:r>
    </w:p>
    <w:p>
      <w:pPr>
        <w:pStyle w:val="ListParagraph"/>
        <w:numPr>
          <w:ilvl w:val="0"/>
          <w:numId w:val="2"/>
        </w:numPr>
        <w:spacing w:after="80" w:line="276"/>
      </w:pPr>
      <w:r>
        <w:rPr>
          <w:sz w:val="22"/>
          <w:szCs w:val="22"/>
        </w:rPr>
        <w:t xml:space="preserve">Revenue leakage should be quantified from two angles: lost recurring revenue (MRR/ARR) going forward, and CLTV lost when customers leave prematurely. Acquisition cost cannot be precisely quantified due to unavailable campaign-level cost data, and this limitation should be documented.</w:t>
      </w:r>
    </w:p>
    <w:p>
      <w:pPr>
        <w:pStyle w:val="ListParagraph"/>
        <w:numPr>
          <w:ilvl w:val="0"/>
          <w:numId w:val="2"/>
        </w:numPr>
        <w:spacing w:after="80" w:line="276"/>
      </w:pPr>
      <w:r>
        <w:rPr>
          <w:sz w:val="22"/>
          <w:szCs w:val="22"/>
        </w:rPr>
        <w:t xml:space="preserve">The primary forecast horizon is the next four quarters (12 months), aligned with executive annual planning.</w:t>
      </w:r>
    </w:p>
    <w:p>
      <w:pPr>
        <w:pStyle w:val="ListParagraph"/>
        <w:numPr>
          <w:ilvl w:val="0"/>
          <w:numId w:val="2"/>
        </w:numPr>
        <w:spacing w:after="80" w:line="276"/>
      </w:pPr>
      <w:r>
        <w:rPr>
          <w:sz w:val="22"/>
          <w:szCs w:val="22"/>
        </w:rPr>
        <w:t xml:space="preserve">Profitability should be approximated using CLTV, Monthly Charges, and Customer Retention, since reliable servicing cost data is not available. This limitation must be clearly documented in the analysis.</w:t>
      </w:r>
    </w:p>
    <w:p>
      <w:pPr>
        <w:pStyle w:val="ListParagraph"/>
        <w:numPr>
          <w:ilvl w:val="0"/>
          <w:numId w:val="2"/>
        </w:numPr>
        <w:spacing w:after="80" w:line="276"/>
      </w:pPr>
      <w:r>
        <w:rPr>
          <w:sz w:val="22"/>
          <w:szCs w:val="22"/>
        </w:rPr>
        <w:t xml:space="preserve">Annual plan discounts are already reflected in the Monthly Charges field; no separate adjustment is required.</w:t>
      </w:r>
    </w:p>
    <w:p>
      <w:pPr>
        <w:pStyle w:val="ListParagraph"/>
        <w:numPr>
          <w:ilvl w:val="0"/>
          <w:numId w:val="2"/>
        </w:numPr>
        <w:spacing w:after="80" w:line="276"/>
      </w:pPr>
      <w:r>
        <w:rPr>
          <w:sz w:val="22"/>
          <w:szCs w:val="22"/>
        </w:rPr>
        <w:t xml:space="preserve">Finance will invest in retaining high-CLTV, high-churn-risk segments even if they represent a small share of the customer base.</w:t>
      </w:r>
    </w:p>
    <w:p>
      <w:pPr>
        <w:pStyle w:val="ListParagraph"/>
        <w:numPr>
          <w:ilvl w:val="0"/>
          <w:numId w:val="2"/>
        </w:numPr>
        <w:spacing w:after="80" w:line="276"/>
      </w:pPr>
      <w:r>
        <w:rPr>
          <w:sz w:val="22"/>
          <w:szCs w:val="22"/>
        </w:rPr>
        <w:t xml:space="preserve">Finance generally expects retention initiatives to recover their cost within six to nine months. The analysis should identify segments where retention investment is likely to deliver the highest financial return, without calculating campaign ROI directly.</w:t>
      </w:r>
    </w:p>
    <w:p>
      <w:pPr>
        <w:pStyle w:val="ListParagraph"/>
        <w:numPr>
          <w:ilvl w:val="0"/>
          <w:numId w:val="2"/>
        </w:numPr>
        <w:spacing w:after="80" w:line="276"/>
      </w:pPr>
      <w:r>
        <w:rPr>
          <w:sz w:val="22"/>
          <w:szCs w:val="22"/>
        </w:rPr>
        <w:t xml:space="preserve">The analysis should identify revenue concentration risk — segments where a small number of customers contribute a disproportionately large share of revenue.</w:t>
      </w:r>
    </w:p>
    <w:p>
      <w:pPr>
        <w:pStyle w:val="ListParagraph"/>
        <w:numPr>
          <w:ilvl w:val="0"/>
          <w:numId w:val="2"/>
        </w:numPr>
        <w:spacing w:after="80" w:line="276"/>
      </w:pPr>
      <w:r>
        <w:rPr>
          <w:sz w:val="22"/>
          <w:szCs w:val="22"/>
        </w:rPr>
        <w:t xml:space="preserve">This project will directly support the FY2026 annual budgeting process, and Finance additionally requires a dashboard refreshed monthly for ongoing trend monitoring.</w:t>
      </w:r>
    </w:p>
    <w:p>
      <w:pPr>
        <w:pStyle w:val="ListParagraph"/>
        <w:numPr>
          <w:ilvl w:val="0"/>
          <w:numId w:val="2"/>
        </w:numPr>
        <w:spacing w:after="80" w:line="276"/>
      </w:pPr>
      <w:r>
        <w:rPr>
          <w:sz w:val="22"/>
          <w:szCs w:val="22"/>
        </w:rPr>
        <w:t xml:space="preserve">The analysis should not be limited to customers who have already churned. Finance is equally interested in identifying currently active, financially valuable customers who appear to be at risk of churning, so that intervention is possible before they leave.</w:t>
      </w:r>
    </w:p>
    <w:p>
      <w:pPr>
        <w:pStyle w:val="Heading2"/>
        <w:spacing w:after="150" w:before="300"/>
      </w:pPr>
      <w:r>
        <w:t xml:space="preserve">4.4 Product Department</w:t>
      </w:r>
    </w:p>
    <w:p>
      <w:pPr>
        <w:spacing w:after="160" w:line="276"/>
      </w:pPr>
      <w:r>
        <w:rPr>
          <w:sz w:val="22"/>
          <w:szCs w:val="22"/>
        </w:rPr>
        <w:t xml:space="preserve">Product is responsible for subscription plans, pricing, and overall customer experience. Product has observed increased churn but does not yet know whether the root cause relates to product offerings, pricing, subscription plans, or customer experience. Findings from this analysis will directly influence the FY2026 product roadmap.</w:t>
      </w:r>
    </w:p>
    <w:p>
      <w:pPr>
        <w:pStyle w:val="Heading3"/>
        <w:spacing w:after="100" w:before="200"/>
      </w:pPr>
      <w:r>
        <w:t xml:space="preserve">Key concerns raised</w:t>
      </w:r>
    </w:p>
    <w:p>
      <w:pPr>
        <w:pStyle w:val="ListParagraph"/>
        <w:numPr>
          <w:ilvl w:val="0"/>
          <w:numId w:val="2"/>
        </w:numPr>
        <w:spacing w:after="80" w:line="276"/>
      </w:pPr>
      <w:r>
        <w:rPr>
          <w:sz w:val="22"/>
          <w:szCs w:val="22"/>
        </w:rPr>
        <w:t xml:space="preserve">Monthly subscribers appear to cancel more frequently than annual subscribers, though this has not been validated.</w:t>
      </w:r>
    </w:p>
    <w:p>
      <w:pPr>
        <w:pStyle w:val="ListParagraph"/>
        <w:numPr>
          <w:ilvl w:val="0"/>
          <w:numId w:val="2"/>
        </w:numPr>
        <w:spacing w:after="80" w:line="276"/>
      </w:pPr>
      <w:r>
        <w:rPr>
          <w:sz w:val="22"/>
          <w:szCs w:val="22"/>
        </w:rPr>
        <w:t xml:space="preserve">Certain cancellation reasons appear repeatedly but have not been validated as a pattern.</w:t>
      </w:r>
    </w:p>
    <w:p>
      <w:pPr>
        <w:pStyle w:val="ListParagraph"/>
        <w:numPr>
          <w:ilvl w:val="0"/>
          <w:numId w:val="2"/>
        </w:numPr>
        <w:spacing w:after="80" w:line="276"/>
      </w:pPr>
      <w:r>
        <w:rPr>
          <w:sz w:val="22"/>
          <w:szCs w:val="22"/>
        </w:rPr>
        <w:t xml:space="preserve">It is unclear whether certain customer demographics prefer different subscription plans.</w:t>
      </w:r>
    </w:p>
    <w:p>
      <w:pPr>
        <w:pStyle w:val="ListParagraph"/>
        <w:numPr>
          <w:ilvl w:val="0"/>
          <w:numId w:val="2"/>
        </w:numPr>
        <w:spacing w:after="80" w:line="276"/>
      </w:pPr>
      <w:r>
        <w:rPr>
          <w:sz w:val="22"/>
          <w:szCs w:val="22"/>
        </w:rPr>
        <w:t xml:space="preserve">It is unclear whether support interactions negatively affect retention.</w:t>
      </w:r>
    </w:p>
    <w:p>
      <w:pPr>
        <w:pStyle w:val="ListParagraph"/>
        <w:numPr>
          <w:ilvl w:val="0"/>
          <w:numId w:val="2"/>
        </w:numPr>
        <w:spacing w:after="80" w:line="276"/>
      </w:pPr>
      <w:r>
        <w:rPr>
          <w:sz w:val="22"/>
          <w:szCs w:val="22"/>
        </w:rPr>
        <w:t xml:space="preserve">Pricing is suspected to be driving churn, but there is no supporting evidence.</w:t>
      </w:r>
    </w:p>
    <w:p>
      <w:pPr>
        <w:pStyle w:val="Heading3"/>
        <w:spacing w:after="100" w:before="200"/>
      </w:pPr>
      <w:r>
        <w:t xml:space="preserve">Business questions Product expects answered</w:t>
      </w:r>
    </w:p>
    <w:p>
      <w:pPr>
        <w:pStyle w:val="ListParagraph"/>
        <w:numPr>
          <w:ilvl w:val="0"/>
          <w:numId w:val="2"/>
        </w:numPr>
        <w:spacing w:after="80" w:line="276"/>
      </w:pPr>
      <w:r>
        <w:rPr>
          <w:sz w:val="22"/>
          <w:szCs w:val="22"/>
        </w:rPr>
        <w:t xml:space="preserve">What are the strongest churn drivers?</w:t>
      </w:r>
    </w:p>
    <w:p>
      <w:pPr>
        <w:pStyle w:val="ListParagraph"/>
        <w:numPr>
          <w:ilvl w:val="0"/>
          <w:numId w:val="2"/>
        </w:numPr>
        <w:spacing w:after="80" w:line="276"/>
      </w:pPr>
      <w:r>
        <w:rPr>
          <w:sz w:val="22"/>
          <w:szCs w:val="22"/>
        </w:rPr>
        <w:t xml:space="preserve">How can customers be segmented by subscription behavior?</w:t>
      </w:r>
    </w:p>
    <w:p>
      <w:pPr>
        <w:pStyle w:val="ListParagraph"/>
        <w:numPr>
          <w:ilvl w:val="0"/>
          <w:numId w:val="2"/>
        </w:numPr>
        <w:spacing w:after="80" w:line="276"/>
      </w:pPr>
      <w:r>
        <w:rPr>
          <w:sz w:val="22"/>
          <w:szCs w:val="22"/>
        </w:rPr>
        <w:t xml:space="preserve">What do cancellation reasons reveal about churn?</w:t>
      </w:r>
    </w:p>
    <w:p>
      <w:pPr>
        <w:pStyle w:val="ListParagraph"/>
        <w:numPr>
          <w:ilvl w:val="0"/>
          <w:numId w:val="2"/>
        </w:numPr>
        <w:spacing w:after="80" w:line="276"/>
      </w:pPr>
      <w:r>
        <w:rPr>
          <w:sz w:val="22"/>
          <w:szCs w:val="22"/>
        </w:rPr>
        <w:t xml:space="preserve">How should subscription plans be improved?</w:t>
      </w:r>
    </w:p>
    <w:p>
      <w:pPr>
        <w:pStyle w:val="ListParagraph"/>
        <w:numPr>
          <w:ilvl w:val="0"/>
          <w:numId w:val="2"/>
        </w:numPr>
        <w:spacing w:after="80" w:line="276"/>
      </w:pPr>
      <w:r>
        <w:rPr>
          <w:sz w:val="22"/>
          <w:szCs w:val="22"/>
        </w:rPr>
        <w:t xml:space="preserve">What evidence-based product recommendations can be made?</w:t>
      </w:r>
    </w:p>
    <w:p>
      <w:pPr>
        <w:pStyle w:val="Heading3"/>
        <w:spacing w:after="100" w:before="200"/>
      </w:pPr>
      <w:r>
        <w:t xml:space="preserve">Clarifications obtained</w:t>
      </w:r>
    </w:p>
    <w:p>
      <w:pPr>
        <w:pStyle w:val="ListParagraph"/>
        <w:numPr>
          <w:ilvl w:val="0"/>
          <w:numId w:val="2"/>
        </w:numPr>
        <w:spacing w:after="80" w:line="276"/>
      </w:pPr>
      <w:r>
        <w:rPr>
          <w:sz w:val="22"/>
          <w:szCs w:val="22"/>
        </w:rPr>
        <w:t xml:space="preserve">If Monthly subscribers are confirmed to churn significantly more than Annual subscribers, Product's first response will be pricing incentives and promotional offers to encourage Annual adoption. A full redesign of the Monthly plan will only be considered if pricing incentives alone prove insufficient.</w:t>
      </w:r>
    </w:p>
    <w:p>
      <w:pPr>
        <w:pStyle w:val="ListParagraph"/>
        <w:numPr>
          <w:ilvl w:val="0"/>
          <w:numId w:val="2"/>
        </w:numPr>
        <w:spacing w:after="80" w:line="276"/>
      </w:pPr>
      <w:r>
        <w:rPr>
          <w:sz w:val="22"/>
          <w:szCs w:val="22"/>
        </w:rPr>
        <w:t xml:space="preserve">If "Too Expensive" is confirmed as the leading cancellation reason, Product wants to distinguish between an actual pricing problem and a perceived-value problem before adjusting price.</w:t>
      </w:r>
    </w:p>
    <w:p>
      <w:pPr>
        <w:pStyle w:val="ListParagraph"/>
        <w:numPr>
          <w:ilvl w:val="0"/>
          <w:numId w:val="2"/>
        </w:numPr>
        <w:spacing w:after="80" w:line="276"/>
      </w:pPr>
      <w:r>
        <w:rPr>
          <w:sz w:val="22"/>
          <w:szCs w:val="22"/>
        </w:rPr>
        <w:t xml:space="preserve">Cancellation Reason data is self-reported by customers at the point of cancellation and should be treated as indicative, not as absolute truth.</w:t>
      </w:r>
    </w:p>
    <w:p>
      <w:pPr>
        <w:pStyle w:val="ListParagraph"/>
        <w:numPr>
          <w:ilvl w:val="0"/>
          <w:numId w:val="2"/>
        </w:numPr>
        <w:spacing w:after="80" w:line="276"/>
      </w:pPr>
      <w:r>
        <w:rPr>
          <w:sz w:val="22"/>
          <w:szCs w:val="22"/>
        </w:rPr>
        <w:t xml:space="preserve">Support systems are not currently capable of real-time intervention. If specific complaint categories are shown to strongly predict churn, Product will work with Support and Engineering to build proactive intervention processes in the future.</w:t>
      </w:r>
    </w:p>
    <w:p>
      <w:pPr>
        <w:pStyle w:val="ListParagraph"/>
        <w:numPr>
          <w:ilvl w:val="0"/>
          <w:numId w:val="2"/>
        </w:numPr>
        <w:spacing w:after="80" w:line="276"/>
      </w:pPr>
      <w:r>
        <w:rPr>
          <w:sz w:val="22"/>
          <w:szCs w:val="22"/>
        </w:rPr>
        <w:t xml:space="preserve">Product does not plan to create demographic-specific subscription plans; the goal is to personalize messaging, onboarding, and promotional offers while keeping the product portfolio simple.</w:t>
      </w:r>
    </w:p>
    <w:p>
      <w:pPr>
        <w:pStyle w:val="ListParagraph"/>
        <w:numPr>
          <w:ilvl w:val="0"/>
          <w:numId w:val="2"/>
        </w:numPr>
        <w:spacing w:after="80" w:line="276"/>
      </w:pPr>
      <w:r>
        <w:rPr>
          <w:sz w:val="22"/>
          <w:szCs w:val="22"/>
        </w:rPr>
        <w:t xml:space="preserve">Product has no existing hypothesis about where customer journey friction occurs and wants the analysis conducted without assuming a specific stage is responsible.</w:t>
      </w:r>
    </w:p>
    <w:p>
      <w:pPr>
        <w:pStyle w:val="ListParagraph"/>
        <w:numPr>
          <w:ilvl w:val="0"/>
          <w:numId w:val="2"/>
        </w:numPr>
        <w:spacing w:after="80" w:line="276"/>
      </w:pPr>
      <w:r>
        <w:rPr>
          <w:sz w:val="22"/>
          <w:szCs w:val="22"/>
        </w:rPr>
        <w:t xml:space="preserve">The FY2026 roadmap will be finalized in approximately six weeks; findings must be available before that deadline to influence prioritization.</w:t>
      </w:r>
    </w:p>
    <w:p>
      <w:pPr>
        <w:pStyle w:val="ListParagraph"/>
        <w:numPr>
          <w:ilvl w:val="0"/>
          <w:numId w:val="2"/>
        </w:numPr>
        <w:spacing w:after="80" w:line="276"/>
      </w:pPr>
      <w:r>
        <w:rPr>
          <w:sz w:val="22"/>
          <w:szCs w:val="22"/>
        </w:rPr>
        <w:t xml:space="preserve">The most consequential assumption for Product is that Annual subscribers are significantly more loyal than Monthly subscribers, since current retention strategy is built around encouraging Annual subscriptions. If this assumption is disproven, both pricing and subscription strategy will need to be reconsidered.</w:t>
      </w:r>
    </w:p>
    <w:p>
      <w:pPr>
        <w:pStyle w:val="ListParagraph"/>
        <w:numPr>
          <w:ilvl w:val="0"/>
          <w:numId w:val="2"/>
        </w:numPr>
        <w:spacing w:after="80" w:line="276"/>
      </w:pPr>
      <w:r>
        <w:rPr>
          <w:sz w:val="22"/>
          <w:szCs w:val="22"/>
        </w:rPr>
        <w:t xml:space="preserve">Product requires that every major finding be paired with at least one practical, implementable product recommendation, rather than a description of the problem alone.</w:t>
      </w:r>
    </w:p>
    <w:p>
      <w:pPr>
        <w:pStyle w:val="Heading2"/>
        <w:spacing w:after="150" w:before="300"/>
      </w:pPr>
      <w:r>
        <w:t xml:space="preserve">4.5 Customer Support Department</w:t>
      </w:r>
    </w:p>
    <w:p>
      <w:pPr>
        <w:spacing w:after="160" w:line="276"/>
      </w:pPr>
      <w:r>
        <w:rPr>
          <w:sz w:val="22"/>
          <w:szCs w:val="22"/>
        </w:rPr>
        <w:t xml:space="preserve">Customer Support handles customer interactions related to billing, login issues, streaming quality, and subscription inquiries. Support believes there may be a relationship between complaint type, escalation, CSAT score, and churn, but currently lacks the data-driven visibility to confirm it. All complaints are currently treated with equal priority due to the absence of an evidence-based prioritization framework.</w:t>
      </w:r>
    </w:p>
    <w:p>
      <w:pPr>
        <w:pStyle w:val="Heading3"/>
        <w:spacing w:after="100" w:before="200"/>
      </w:pPr>
      <w:r>
        <w:t xml:space="preserve">Key concerns raised</w:t>
      </w:r>
    </w:p>
    <w:p>
      <w:pPr>
        <w:pStyle w:val="ListParagraph"/>
        <w:numPr>
          <w:ilvl w:val="0"/>
          <w:numId w:val="2"/>
        </w:numPr>
        <w:spacing w:after="80" w:line="276"/>
      </w:pPr>
      <w:r>
        <w:rPr>
          <w:sz w:val="22"/>
          <w:szCs w:val="22"/>
        </w:rPr>
        <w:t xml:space="preserve">Streaming-related complaints appear to be increasing.</w:t>
      </w:r>
    </w:p>
    <w:p>
      <w:pPr>
        <w:pStyle w:val="ListParagraph"/>
        <w:numPr>
          <w:ilvl w:val="0"/>
          <w:numId w:val="2"/>
        </w:numPr>
        <w:spacing w:after="80" w:line="276"/>
      </w:pPr>
      <w:r>
        <w:rPr>
          <w:sz w:val="22"/>
          <w:szCs w:val="22"/>
        </w:rPr>
        <w:t xml:space="preserve">Billing issues often require multiple follow-ups.</w:t>
      </w:r>
    </w:p>
    <w:p>
      <w:pPr>
        <w:pStyle w:val="ListParagraph"/>
        <w:numPr>
          <w:ilvl w:val="0"/>
          <w:numId w:val="2"/>
        </w:numPr>
        <w:spacing w:after="80" w:line="276"/>
      </w:pPr>
      <w:r>
        <w:rPr>
          <w:sz w:val="22"/>
          <w:szCs w:val="22"/>
        </w:rPr>
        <w:t xml:space="preserve">Escalated tickets consume significant support resources.</w:t>
      </w:r>
    </w:p>
    <w:p>
      <w:pPr>
        <w:pStyle w:val="ListParagraph"/>
        <w:numPr>
          <w:ilvl w:val="0"/>
          <w:numId w:val="2"/>
        </w:numPr>
        <w:spacing w:after="80" w:line="276"/>
      </w:pPr>
      <w:r>
        <w:rPr>
          <w:sz w:val="22"/>
          <w:szCs w:val="22"/>
        </w:rPr>
        <w:t xml:space="preserve">Some customers cancel shortly after contacting support.</w:t>
      </w:r>
    </w:p>
    <w:p>
      <w:pPr>
        <w:pStyle w:val="ListParagraph"/>
        <w:numPr>
          <w:ilvl w:val="0"/>
          <w:numId w:val="2"/>
        </w:numPr>
        <w:spacing w:after="80" w:line="276"/>
      </w:pPr>
      <w:r>
        <w:rPr>
          <w:sz w:val="22"/>
          <w:szCs w:val="22"/>
        </w:rPr>
        <w:t xml:space="preserve">Low CSAT scores may indicate customers at high risk of churning.</w:t>
      </w:r>
    </w:p>
    <w:p>
      <w:pPr>
        <w:pStyle w:val="ListParagraph"/>
        <w:numPr>
          <w:ilvl w:val="0"/>
          <w:numId w:val="2"/>
        </w:numPr>
        <w:spacing w:after="80" w:line="276"/>
      </w:pPr>
      <w:r>
        <w:rPr>
          <w:sz w:val="22"/>
          <w:szCs w:val="22"/>
        </w:rPr>
        <w:t xml:space="preserve">All complaints are currently treated with equal priority, regardless of business impact.</w:t>
      </w:r>
    </w:p>
    <w:p>
      <w:pPr>
        <w:pStyle w:val="Heading3"/>
        <w:spacing w:after="100" w:before="200"/>
      </w:pPr>
      <w:r>
        <w:t xml:space="preserve">Business questions Customer Support expects answered</w:t>
      </w:r>
    </w:p>
    <w:p>
      <w:pPr>
        <w:pStyle w:val="ListParagraph"/>
        <w:numPr>
          <w:ilvl w:val="0"/>
          <w:numId w:val="2"/>
        </w:numPr>
        <w:spacing w:after="80" w:line="276"/>
      </w:pPr>
      <w:r>
        <w:rPr>
          <w:sz w:val="22"/>
          <w:szCs w:val="22"/>
        </w:rPr>
        <w:t xml:space="preserve">Which complaint categories are most strongly associated with churn?</w:t>
      </w:r>
    </w:p>
    <w:p>
      <w:pPr>
        <w:pStyle w:val="ListParagraph"/>
        <w:numPr>
          <w:ilvl w:val="0"/>
          <w:numId w:val="2"/>
        </w:numPr>
        <w:spacing w:after="80" w:line="276"/>
      </w:pPr>
      <w:r>
        <w:rPr>
          <w:sz w:val="22"/>
          <w:szCs w:val="22"/>
        </w:rPr>
        <w:t xml:space="preserve">How does CSAT relate to customer retention?</w:t>
      </w:r>
    </w:p>
    <w:p>
      <w:pPr>
        <w:pStyle w:val="ListParagraph"/>
        <w:numPr>
          <w:ilvl w:val="0"/>
          <w:numId w:val="2"/>
        </w:numPr>
        <w:spacing w:after="80" w:line="276"/>
      </w:pPr>
      <w:r>
        <w:rPr>
          <w:sz w:val="22"/>
          <w:szCs w:val="22"/>
        </w:rPr>
        <w:t xml:space="preserve">How does escalation relate to churn?</w:t>
      </w:r>
    </w:p>
    <w:p>
      <w:pPr>
        <w:pStyle w:val="ListParagraph"/>
        <w:numPr>
          <w:ilvl w:val="0"/>
          <w:numId w:val="2"/>
        </w:numPr>
        <w:spacing w:after="80" w:line="276"/>
      </w:pPr>
      <w:r>
        <w:rPr>
          <w:sz w:val="22"/>
          <w:szCs w:val="22"/>
        </w:rPr>
        <w:t xml:space="preserve">What recommendations can improve customer satisfaction?</w:t>
      </w:r>
    </w:p>
    <w:p>
      <w:pPr>
        <w:pStyle w:val="ListParagraph"/>
        <w:numPr>
          <w:ilvl w:val="0"/>
          <w:numId w:val="2"/>
        </w:numPr>
        <w:spacing w:after="80" w:line="276"/>
      </w:pPr>
      <w:r>
        <w:rPr>
          <w:sz w:val="22"/>
          <w:szCs w:val="22"/>
        </w:rPr>
        <w:t xml:space="preserve">How should support tickets be prioritized based on business impact?</w:t>
      </w:r>
    </w:p>
    <w:p>
      <w:pPr>
        <w:pStyle w:val="Heading3"/>
        <w:spacing w:after="100" w:before="200"/>
      </w:pPr>
      <w:r>
        <w:t xml:space="preserve">Data availability and limitations</w:t>
      </w:r>
    </w:p>
    <w:p>
      <w:pPr>
        <w:pStyle w:val="ListParagraph"/>
        <w:numPr>
          <w:ilvl w:val="0"/>
          <w:numId w:val="2"/>
        </w:numPr>
        <w:spacing w:after="80" w:line="276"/>
      </w:pPr>
      <w:r>
        <w:rPr>
          <w:sz w:val="22"/>
          <w:szCs w:val="22"/>
        </w:rPr>
        <w:t xml:space="preserve">Available fields: Complaint Date, Complaint Category, Escalation (Yes/No), CSAT Score (1–5), Customer Comment.</w:t>
      </w:r>
    </w:p>
    <w:p>
      <w:pPr>
        <w:pStyle w:val="ListParagraph"/>
        <w:numPr>
          <w:ilvl w:val="0"/>
          <w:numId w:val="2"/>
        </w:numPr>
        <w:spacing w:after="80" w:line="276"/>
      </w:pPr>
      <w:r>
        <w:rPr>
          <w:sz w:val="22"/>
          <w:szCs w:val="22"/>
        </w:rPr>
        <w:t xml:space="preserve">First Contact Resolution Rate and Average Resolution Time are tracked internally by Support but are not available in the analysis dataset.</w:t>
      </w:r>
    </w:p>
    <w:p>
      <w:pPr>
        <w:pStyle w:val="Heading3"/>
        <w:spacing w:after="100" w:before="200"/>
      </w:pPr>
      <w:r>
        <w:t xml:space="preserve">Assumptions to be validated</w:t>
      </w:r>
    </w:p>
    <w:p>
      <w:pPr>
        <w:pStyle w:val="ListParagraph"/>
        <w:numPr>
          <w:ilvl w:val="0"/>
          <w:numId w:val="2"/>
        </w:numPr>
        <w:spacing w:after="80" w:line="276"/>
      </w:pPr>
      <w:r>
        <w:rPr>
          <w:sz w:val="22"/>
          <w:szCs w:val="22"/>
        </w:rPr>
        <w:t xml:space="preserve">Customers with low CSAT scores are more likely to churn.</w:t>
      </w:r>
    </w:p>
    <w:p>
      <w:pPr>
        <w:pStyle w:val="ListParagraph"/>
        <w:numPr>
          <w:ilvl w:val="0"/>
          <w:numId w:val="2"/>
        </w:numPr>
        <w:spacing w:after="80" w:line="276"/>
      </w:pPr>
      <w:r>
        <w:rPr>
          <w:sz w:val="22"/>
          <w:szCs w:val="22"/>
        </w:rPr>
        <w:t xml:space="preserve">Escalated complaints have a higher cancellation rate.</w:t>
      </w:r>
    </w:p>
    <w:p>
      <w:pPr>
        <w:pStyle w:val="ListParagraph"/>
        <w:numPr>
          <w:ilvl w:val="0"/>
          <w:numId w:val="2"/>
        </w:numPr>
        <w:spacing w:after="80" w:line="276"/>
      </w:pPr>
      <w:r>
        <w:rPr>
          <w:sz w:val="22"/>
          <w:szCs w:val="22"/>
        </w:rPr>
        <w:t xml:space="preserve">Billing complaints require more follow-up than other complaint types.</w:t>
      </w:r>
    </w:p>
    <w:p>
      <w:pPr>
        <w:pStyle w:val="ListParagraph"/>
        <w:numPr>
          <w:ilvl w:val="0"/>
          <w:numId w:val="2"/>
        </w:numPr>
        <w:spacing w:after="80" w:line="276"/>
      </w:pPr>
      <w:r>
        <w:rPr>
          <w:sz w:val="22"/>
          <w:szCs w:val="22"/>
        </w:rPr>
        <w:t xml:space="preserve">Streaming complaints are increasing and negatively affecting satisfaction.</w:t>
      </w:r>
    </w:p>
    <w:p>
      <w:pPr>
        <w:pStyle w:val="ListParagraph"/>
        <w:numPr>
          <w:ilvl w:val="0"/>
          <w:numId w:val="2"/>
        </w:numPr>
        <w:spacing w:after="80" w:line="276"/>
      </w:pPr>
      <w:r>
        <w:rPr>
          <w:sz w:val="22"/>
          <w:szCs w:val="22"/>
        </w:rPr>
        <w:t xml:space="preserve">Customers who contact support multiple times are less likely to renew.</w:t>
      </w:r>
    </w:p>
    <w:p>
      <w:pPr>
        <w:pStyle w:val="Heading1"/>
        <w:spacing w:after="200" w:before="400"/>
      </w:pPr>
      <w:r>
        <w:t xml:space="preserve">5. Consolidated Business Questions</w:t>
      </w:r>
    </w:p>
    <w:p>
      <w:pPr>
        <w:spacing w:after="160" w:line="276"/>
      </w:pPr>
      <w:r>
        <w:rPr>
          <w:sz w:val="22"/>
          <w:szCs w:val="22"/>
        </w:rPr>
        <w:t xml:space="preserve">The individual departmental questions above converge into the following core analytical questions that the initiative must answer:</w:t>
      </w:r>
    </w:p>
    <w:p>
      <w:pPr>
        <w:pStyle w:val="ListParagraph"/>
        <w:numPr>
          <w:ilvl w:val="0"/>
          <w:numId w:val="3"/>
        </w:numPr>
        <w:spacing w:after="80" w:line="276"/>
      </w:pPr>
      <w:r>
        <w:rPr>
          <w:sz w:val="22"/>
          <w:szCs w:val="22"/>
        </w:rPr>
        <w:t xml:space="preserve">Why are customers cancelling, and which reasons are validated by data rather than assumption?</w:t>
      </w:r>
    </w:p>
    <w:p>
      <w:pPr>
        <w:pStyle w:val="ListParagraph"/>
        <w:numPr>
          <w:ilvl w:val="0"/>
          <w:numId w:val="3"/>
        </w:numPr>
        <w:spacing w:after="80" w:line="276"/>
      </w:pPr>
      <w:r>
        <w:rPr>
          <w:sz w:val="22"/>
          <w:szCs w:val="22"/>
        </w:rPr>
        <w:t xml:space="preserve">Which customers and segments are at the highest risk of churning, and which of those carry the highest business value?</w:t>
      </w:r>
    </w:p>
    <w:p>
      <w:pPr>
        <w:pStyle w:val="ListParagraph"/>
        <w:numPr>
          <w:ilvl w:val="0"/>
          <w:numId w:val="3"/>
        </w:numPr>
        <w:spacing w:after="80" w:line="276"/>
      </w:pPr>
      <w:r>
        <w:rPr>
          <w:sz w:val="22"/>
          <w:szCs w:val="22"/>
        </w:rPr>
        <w:t xml:space="preserve">Which acquisition channels deliver customers with the strongest long-term retention and value?</w:t>
      </w:r>
    </w:p>
    <w:p>
      <w:pPr>
        <w:pStyle w:val="ListParagraph"/>
        <w:numPr>
          <w:ilvl w:val="0"/>
          <w:numId w:val="3"/>
        </w:numPr>
        <w:spacing w:after="80" w:line="276"/>
      </w:pPr>
      <w:r>
        <w:rPr>
          <w:sz w:val="22"/>
          <w:szCs w:val="22"/>
        </w:rPr>
        <w:t xml:space="preserve">Which subscription plans underperform, and is underperformance linked to pricing, churn, or both?</w:t>
      </w:r>
    </w:p>
    <w:p>
      <w:pPr>
        <w:pStyle w:val="ListParagraph"/>
        <w:numPr>
          <w:ilvl w:val="0"/>
          <w:numId w:val="3"/>
        </w:numPr>
        <w:spacing w:after="80" w:line="276"/>
      </w:pPr>
      <w:r>
        <w:rPr>
          <w:sz w:val="22"/>
          <w:szCs w:val="22"/>
        </w:rPr>
        <w:t xml:space="preserve">Do customer support interactions — complaint category, escalation, and CSAT — contribute meaningfully to churn?</w:t>
      </w:r>
    </w:p>
    <w:p>
      <w:pPr>
        <w:pStyle w:val="ListParagraph"/>
        <w:numPr>
          <w:ilvl w:val="0"/>
          <w:numId w:val="3"/>
        </w:numPr>
        <w:spacing w:after="80" w:line="276"/>
      </w:pPr>
      <w:r>
        <w:rPr>
          <w:sz w:val="22"/>
          <w:szCs w:val="22"/>
        </w:rPr>
        <w:t xml:space="preserve">What is the financial impact of churn, expressed as lost recurring revenue and lost customer lifetime value?</w:t>
      </w:r>
    </w:p>
    <w:p>
      <w:pPr>
        <w:pStyle w:val="ListParagraph"/>
        <w:numPr>
          <w:ilvl w:val="0"/>
          <w:numId w:val="3"/>
        </w:numPr>
        <w:spacing w:after="80" w:line="276"/>
      </w:pPr>
      <w:r>
        <w:rPr>
          <w:sz w:val="22"/>
          <w:szCs w:val="22"/>
        </w:rPr>
        <w:t xml:space="preserve">Which customer segments should be prioritized for retention investment, considering both churn risk and financial value?</w:t>
      </w:r>
    </w:p>
    <w:p>
      <w:pPr>
        <w:pStyle w:val="ListParagraph"/>
        <w:numPr>
          <w:ilvl w:val="0"/>
          <w:numId w:val="3"/>
        </w:numPr>
        <w:spacing w:after="80" w:line="276"/>
      </w:pPr>
      <w:r>
        <w:rPr>
          <w:sz w:val="22"/>
          <w:szCs w:val="22"/>
        </w:rPr>
        <w:t xml:space="preserve">What specific actions should Marketing, Finance, Product, and Customer Support take to reduce churn?</w:t>
      </w:r>
    </w:p>
    <w:p>
      <w:pPr>
        <w:pStyle w:val="Heading1"/>
        <w:spacing w:after="200" w:before="400"/>
      </w:pPr>
      <w:r>
        <w:t xml:space="preserve">6. Data Sources and Known Limitations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Data Domain</w:t>
            </w:r>
          </w:p>
        </w:tc>
        <w:tc>
          <w:tcPr>
            <w:tcW w:type="dxa" w:w="3800"/>
            <w:shd w:fill="1F3864" w:val="clear"/>
            <w:tcMar>
              <w:top w:type="dxa" w:w="100"/>
              <w:left w:type="dxa" w:w="120"/>
              <w:bottom w:type="dxa" w:w="100"/>
              <w:right w:type="dxa" w:w="120"/>
            </w:tcMar>
          </w:tcPr>
          <w:p>
            <w:r>
              <w:rPr>
                <w:b/>
                <w:bCs/>
                <w:color w:val="FFFFFF"/>
                <w:sz w:val="20"/>
                <w:szCs w:val="20"/>
              </w:rPr>
              <w:t xml:space="preserve">Available Fields</w:t>
            </w:r>
          </w:p>
        </w:tc>
        <w:tc>
          <w:tcPr>
            <w:tcW w:type="dxa" w:w="3300"/>
            <w:shd w:fill="1F3864" w:val="clear"/>
            <w:tcMar>
              <w:top w:type="dxa" w:w="100"/>
              <w:left w:type="dxa" w:w="120"/>
              <w:bottom w:type="dxa" w:w="100"/>
              <w:right w:type="dxa" w:w="120"/>
            </w:tcMar>
          </w:tcPr>
          <w:p>
            <w:r>
              <w:rPr>
                <w:b/>
                <w:bCs/>
                <w:color w:val="FFFFFF"/>
                <w:sz w:val="20"/>
                <w:szCs w:val="20"/>
              </w:rPr>
              <w:t xml:space="preserve">Known Limitation</w:t>
            </w:r>
          </w:p>
        </w:tc>
      </w:tr>
      <w:tr>
        <w:tc>
          <w:tcPr>
            <w:tcW w:type="dxa" w:w="2200"/>
            <w:tcMar>
              <w:top w:type="dxa" w:w="100"/>
              <w:left w:type="dxa" w:w="120"/>
              <w:bottom w:type="dxa" w:w="100"/>
              <w:right w:type="dxa" w:w="120"/>
            </w:tcMar>
          </w:tcPr>
          <w:p>
            <w:pPr>
              <w:jc w:val="left"/>
            </w:pPr>
            <w:r>
              <w:rPr>
                <w:b w:val="false"/>
                <w:bCs w:val="false"/>
                <w:sz w:val="20"/>
                <w:szCs w:val="20"/>
              </w:rPr>
              <w:t xml:space="preserve">Customer Data</w:t>
            </w:r>
          </w:p>
        </w:tc>
        <w:tc>
          <w:tcPr>
            <w:tcW w:type="dxa" w:w="3800"/>
            <w:tcMar>
              <w:top w:type="dxa" w:w="100"/>
              <w:left w:type="dxa" w:w="120"/>
              <w:bottom w:type="dxa" w:w="100"/>
              <w:right w:type="dxa" w:w="120"/>
            </w:tcMar>
          </w:tcPr>
          <w:p>
            <w:pPr>
              <w:jc w:val="left"/>
            </w:pPr>
            <w:r>
              <w:rPr>
                <w:b w:val="false"/>
                <w:bCs w:val="false"/>
                <w:sz w:val="20"/>
                <w:szCs w:val="20"/>
              </w:rPr>
              <w:t xml:space="preserve">Demographics, Interests, Geography</w:t>
            </w:r>
          </w:p>
        </w:tc>
        <w:tc>
          <w:tcPr>
            <w:tcW w:type="dxa" w:w="3300"/>
            <w:tcMar>
              <w:top w:type="dxa" w:w="100"/>
              <w:left w:type="dxa" w:w="120"/>
              <w:bottom w:type="dxa" w:w="100"/>
              <w:right w:type="dxa" w:w="120"/>
            </w:tcMar>
          </w:tcPr>
          <w:p>
            <w:pPr>
              <w:jc w:val="left"/>
            </w:pPr>
            <w:r>
              <w:rPr>
                <w:b w:val="false"/>
                <w:bCs w:val="false"/>
                <w:sz w:val="20"/>
                <w:szCs w:val="20"/>
              </w:rPr>
              <w:t xml:space="preserve">None specified</w:t>
            </w:r>
          </w:p>
        </w:tc>
      </w:tr>
      <w:tr>
        <w:tc>
          <w:tcPr>
            <w:tcW w:type="dxa" w:w="2200"/>
            <w:shd w:fill="F2F2F2" w:val="clear"/>
            <w:tcMar>
              <w:top w:type="dxa" w:w="100"/>
              <w:left w:type="dxa" w:w="120"/>
              <w:bottom w:type="dxa" w:w="100"/>
              <w:right w:type="dxa" w:w="120"/>
            </w:tcMar>
          </w:tcPr>
          <w:p>
            <w:pPr>
              <w:jc w:val="left"/>
            </w:pPr>
            <w:r>
              <w:rPr>
                <w:b w:val="false"/>
                <w:bCs w:val="false"/>
                <w:sz w:val="20"/>
                <w:szCs w:val="20"/>
              </w:rPr>
              <w:t xml:space="preserve">Subscription Data</w:t>
            </w:r>
          </w:p>
        </w:tc>
        <w:tc>
          <w:tcPr>
            <w:tcW w:type="dxa" w:w="3800"/>
            <w:shd w:fill="F2F2F2" w:val="clear"/>
            <w:tcMar>
              <w:top w:type="dxa" w:w="100"/>
              <w:left w:type="dxa" w:w="120"/>
              <w:bottom w:type="dxa" w:w="100"/>
              <w:right w:type="dxa" w:w="120"/>
            </w:tcMar>
          </w:tcPr>
          <w:p>
            <w:pPr>
              <w:jc w:val="left"/>
            </w:pPr>
            <w:r>
              <w:rPr>
                <w:b w:val="false"/>
                <w:bCs w:val="false"/>
                <w:sz w:val="20"/>
                <w:szCs w:val="20"/>
              </w:rPr>
              <w:t xml:space="preserve">Plan Type, Contract Type, Monthly Charges, Renewal Date, Cancellation Reason, Churn Score</w:t>
            </w:r>
          </w:p>
        </w:tc>
        <w:tc>
          <w:tcPr>
            <w:tcW w:type="dxa" w:w="3300"/>
            <w:shd w:fill="F2F2F2" w:val="clear"/>
            <w:tcMar>
              <w:top w:type="dxa" w:w="100"/>
              <w:left w:type="dxa" w:w="120"/>
              <w:bottom w:type="dxa" w:w="100"/>
              <w:right w:type="dxa" w:w="120"/>
            </w:tcMar>
          </w:tcPr>
          <w:p>
            <w:pPr>
              <w:jc w:val="left"/>
            </w:pPr>
            <w:r>
              <w:rPr>
                <w:b w:val="false"/>
                <w:bCs w:val="false"/>
                <w:sz w:val="20"/>
                <w:szCs w:val="20"/>
              </w:rPr>
              <w:t xml:space="preserve">Cancellation Reason is self-reported and should be treated as indicative, not absolute</w:t>
            </w:r>
          </w:p>
        </w:tc>
      </w:tr>
      <w:tr>
        <w:tc>
          <w:tcPr>
            <w:tcW w:type="dxa" w:w="2200"/>
            <w:tcMar>
              <w:top w:type="dxa" w:w="100"/>
              <w:left w:type="dxa" w:w="120"/>
              <w:bottom w:type="dxa" w:w="100"/>
              <w:right w:type="dxa" w:w="120"/>
            </w:tcMar>
          </w:tcPr>
          <w:p>
            <w:pPr>
              <w:jc w:val="left"/>
            </w:pPr>
            <w:r>
              <w:rPr>
                <w:b w:val="false"/>
                <w:bCs w:val="false"/>
                <w:sz w:val="20"/>
                <w:szCs w:val="20"/>
              </w:rPr>
              <w:t xml:space="preserve">Support Data</w:t>
            </w:r>
          </w:p>
        </w:tc>
        <w:tc>
          <w:tcPr>
            <w:tcW w:type="dxa" w:w="3800"/>
            <w:tcMar>
              <w:top w:type="dxa" w:w="100"/>
              <w:left w:type="dxa" w:w="120"/>
              <w:bottom w:type="dxa" w:w="100"/>
              <w:right w:type="dxa" w:w="120"/>
            </w:tcMar>
          </w:tcPr>
          <w:p>
            <w:pPr>
              <w:jc w:val="left"/>
            </w:pPr>
            <w:r>
              <w:rPr>
                <w:b w:val="false"/>
                <w:bCs w:val="false"/>
                <w:sz w:val="20"/>
                <w:szCs w:val="20"/>
              </w:rPr>
              <w:t xml:space="preserve">Complaint Category, Escalation (Yes/No), CSAT Score (1–5), Customer Comment, Complaint Date</w:t>
            </w:r>
          </w:p>
        </w:tc>
        <w:tc>
          <w:tcPr>
            <w:tcW w:type="dxa" w:w="3300"/>
            <w:tcMar>
              <w:top w:type="dxa" w:w="100"/>
              <w:left w:type="dxa" w:w="120"/>
              <w:bottom w:type="dxa" w:w="100"/>
              <w:right w:type="dxa" w:w="120"/>
            </w:tcMar>
          </w:tcPr>
          <w:p>
            <w:pPr>
              <w:jc w:val="left"/>
            </w:pPr>
            <w:r>
              <w:rPr>
                <w:b w:val="false"/>
                <w:bCs w:val="false"/>
                <w:sz w:val="20"/>
                <w:szCs w:val="20"/>
              </w:rPr>
              <w:t xml:space="preserve">First Contact Resolution Rate and Average Resolution Time are not available in the dataset</w:t>
            </w:r>
          </w:p>
        </w:tc>
      </w:tr>
      <w:tr>
        <w:tc>
          <w:tcPr>
            <w:tcW w:type="dxa" w:w="2200"/>
            <w:shd w:fill="F2F2F2" w:val="clear"/>
            <w:tcMar>
              <w:top w:type="dxa" w:w="100"/>
              <w:left w:type="dxa" w:w="120"/>
              <w:bottom w:type="dxa" w:w="100"/>
              <w:right w:type="dxa" w:w="120"/>
            </w:tcMar>
          </w:tcPr>
          <w:p>
            <w:pPr>
              <w:jc w:val="left"/>
            </w:pPr>
            <w:r>
              <w:rPr>
                <w:b w:val="false"/>
                <w:bCs w:val="false"/>
                <w:sz w:val="20"/>
                <w:szCs w:val="20"/>
              </w:rPr>
              <w:t xml:space="preserve">Financial Data</w:t>
            </w:r>
          </w:p>
        </w:tc>
        <w:tc>
          <w:tcPr>
            <w:tcW w:type="dxa" w:w="3800"/>
            <w:shd w:fill="F2F2F2" w:val="clear"/>
            <w:tcMar>
              <w:top w:type="dxa" w:w="100"/>
              <w:left w:type="dxa" w:w="120"/>
              <w:bottom w:type="dxa" w:w="100"/>
              <w:right w:type="dxa" w:w="120"/>
            </w:tcMar>
          </w:tcPr>
          <w:p>
            <w:pPr>
              <w:jc w:val="left"/>
            </w:pPr>
            <w:r>
              <w:rPr>
                <w:b w:val="false"/>
                <w:bCs w:val="false"/>
                <w:sz w:val="20"/>
                <w:szCs w:val="20"/>
              </w:rPr>
              <w:t xml:space="preserve">Monthly Charges (reflects any Annual plan discount already applied)</w:t>
            </w:r>
          </w:p>
        </w:tc>
        <w:tc>
          <w:tcPr>
            <w:tcW w:type="dxa" w:w="3300"/>
            <w:shd w:fill="F2F2F2" w:val="clear"/>
            <w:tcMar>
              <w:top w:type="dxa" w:w="100"/>
              <w:left w:type="dxa" w:w="120"/>
              <w:bottom w:type="dxa" w:w="100"/>
              <w:right w:type="dxa" w:w="120"/>
            </w:tcMar>
          </w:tcPr>
          <w:p>
            <w:pPr>
              <w:jc w:val="left"/>
            </w:pPr>
            <w:r>
              <w:rPr>
                <w:b w:val="false"/>
                <w:bCs w:val="false"/>
                <w:sz w:val="20"/>
                <w:szCs w:val="20"/>
              </w:rPr>
              <w:t xml:space="preserve">Campaign-level acquisition cost data is not available; servicing cost data is not available</w:t>
            </w:r>
          </w:p>
        </w:tc>
      </w:tr>
      <w:tr>
        <w:tc>
          <w:tcPr>
            <w:tcW w:type="dxa" w:w="2200"/>
            <w:tcMar>
              <w:top w:type="dxa" w:w="100"/>
              <w:left w:type="dxa" w:w="120"/>
              <w:bottom w:type="dxa" w:w="100"/>
              <w:right w:type="dxa" w:w="120"/>
            </w:tcMar>
          </w:tcPr>
          <w:p>
            <w:pPr>
              <w:jc w:val="left"/>
            </w:pPr>
            <w:r>
              <w:rPr>
                <w:b w:val="false"/>
                <w:bCs w:val="false"/>
                <w:sz w:val="20"/>
                <w:szCs w:val="20"/>
              </w:rPr>
              <w:t xml:space="preserve">Marketing Data</w:t>
            </w:r>
          </w:p>
        </w:tc>
        <w:tc>
          <w:tcPr>
            <w:tcW w:type="dxa" w:w="3800"/>
            <w:tcMar>
              <w:top w:type="dxa" w:w="100"/>
              <w:left w:type="dxa" w:w="120"/>
              <w:bottom w:type="dxa" w:w="100"/>
              <w:right w:type="dxa" w:w="120"/>
            </w:tcMar>
          </w:tcPr>
          <w:p>
            <w:pPr>
              <w:jc w:val="left"/>
            </w:pPr>
            <w:r>
              <w:rPr>
                <w:b w:val="false"/>
                <w:bCs w:val="false"/>
                <w:sz w:val="20"/>
                <w:szCs w:val="20"/>
              </w:rPr>
              <w:t xml:space="preserve">Acquisition channel information (to be confirmed)</w:t>
            </w:r>
          </w:p>
        </w:tc>
        <w:tc>
          <w:tcPr>
            <w:tcW w:type="dxa" w:w="3300"/>
            <w:tcMar>
              <w:top w:type="dxa" w:w="100"/>
              <w:left w:type="dxa" w:w="120"/>
              <w:bottom w:type="dxa" w:w="100"/>
              <w:right w:type="dxa" w:w="120"/>
            </w:tcMar>
          </w:tcPr>
          <w:p>
            <w:pPr>
              <w:jc w:val="left"/>
            </w:pPr>
            <w:r>
              <w:rPr>
                <w:b w:val="false"/>
                <w:bCs w:val="false"/>
                <w:sz w:val="20"/>
                <w:szCs w:val="20"/>
              </w:rPr>
              <w:t xml:space="preserve">Referral customer tagging in source systems is to be confirmed before analysis begins</w:t>
            </w:r>
          </w:p>
        </w:tc>
      </w:tr>
    </w:tbl>
    <w:p>
      <w:pPr>
        <w:spacing w:before="200"/>
      </w:pPr>
    </w:p>
    <w:p>
      <w:pPr>
        <w:spacing w:after="160" w:line="276"/>
      </w:pPr>
      <w:r>
        <w:rPr>
          <w:sz w:val="22"/>
          <w:szCs w:val="22"/>
        </w:rPr>
        <w:t xml:space="preserve">These limitations must be explicitly documented in the final analysis so that findings are interpreted with the correct level of confidence, particularly for revenue and profitability figures that cannot account for acquisition or servicing cost.</w:t>
      </w:r>
    </w:p>
    <w:p>
      <w:pPr>
        <w:pStyle w:val="Heading1"/>
        <w:spacing w:after="200" w:before="400"/>
      </w:pPr>
      <w:r>
        <w:t xml:space="preserve">7. Assumptions to Be Validated</w:t>
      </w:r>
    </w:p>
    <w:p>
      <w:pPr>
        <w:spacing w:after="160" w:line="276"/>
      </w:pPr>
      <w:r>
        <w:rPr>
          <w:sz w:val="22"/>
          <w:szCs w:val="22"/>
        </w:rPr>
        <w:t xml:space="preserve">The following assumptions were raised across departments and must be tested with evidence rather than accepted as fact: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500"/>
        <w:gridCol w:w="2800"/>
      </w:tblGrid>
      <w:tr>
        <w:trPr>
          <w:tblHeader/>
        </w:trPr>
        <w:tc>
          <w:tcPr>
            <w:tcW w:type="dxa" w:w="6500"/>
            <w:shd w:fill="1F3864" w:val="clear"/>
            <w:tcMar>
              <w:top w:type="dxa" w:w="100"/>
              <w:left w:type="dxa" w:w="120"/>
              <w:bottom w:type="dxa" w:w="100"/>
              <w:right w:type="dxa" w:w="120"/>
            </w:tcMar>
          </w:tcPr>
          <w:p>
            <w:r>
              <w:rPr>
                <w:b/>
                <w:bCs/>
                <w:color w:val="FFFFFF"/>
                <w:sz w:val="20"/>
                <w:szCs w:val="20"/>
              </w:rPr>
              <w:t xml:space="preserve">Assumption</w:t>
            </w:r>
          </w:p>
        </w:tc>
        <w:tc>
          <w:tcPr>
            <w:tcW w:type="dxa" w:w="2800"/>
            <w:shd w:fill="1F3864" w:val="clear"/>
            <w:tcMar>
              <w:top w:type="dxa" w:w="100"/>
              <w:left w:type="dxa" w:w="120"/>
              <w:bottom w:type="dxa" w:w="100"/>
              <w:right w:type="dxa" w:w="120"/>
            </w:tcMar>
          </w:tcPr>
          <w:p>
            <w:r>
              <w:rPr>
                <w:b/>
                <w:bCs/>
                <w:color w:val="FFFFFF"/>
                <w:sz w:val="20"/>
                <w:szCs w:val="20"/>
              </w:rPr>
              <w:t xml:space="preserve">Raised By</w:t>
            </w:r>
          </w:p>
        </w:tc>
      </w:tr>
      <w:tr>
        <w:tc>
          <w:tcPr>
            <w:tcW w:type="dxa" w:w="6500"/>
            <w:tcMar>
              <w:top w:type="dxa" w:w="100"/>
              <w:left w:type="dxa" w:w="120"/>
              <w:bottom w:type="dxa" w:w="100"/>
              <w:right w:type="dxa" w:w="120"/>
            </w:tcMar>
          </w:tcPr>
          <w:p>
            <w:pPr>
              <w:jc w:val="left"/>
            </w:pPr>
            <w:r>
              <w:rPr>
                <w:b w:val="false"/>
                <w:bCs w:val="false"/>
                <w:sz w:val="20"/>
                <w:szCs w:val="20"/>
              </w:rPr>
              <w:t xml:space="preserve">Basic plan customers churn more often.</w:t>
            </w:r>
          </w:p>
        </w:tc>
        <w:tc>
          <w:tcPr>
            <w:tcW w:type="dxa" w:w="2800"/>
            <w:tcMar>
              <w:top w:type="dxa" w:w="100"/>
              <w:left w:type="dxa" w:w="120"/>
              <w:bottom w:type="dxa" w:w="100"/>
              <w:right w:type="dxa" w:w="120"/>
            </w:tcMar>
          </w:tcPr>
          <w:p>
            <w:pPr>
              <w:jc w:val="left"/>
            </w:pPr>
            <w:r>
              <w:rPr>
                <w:b w:val="false"/>
                <w:bCs w:val="false"/>
                <w:sz w:val="20"/>
                <w:szCs w:val="20"/>
              </w:rPr>
              <w:t xml:space="preserve">Product</w:t>
            </w:r>
          </w:p>
        </w:tc>
      </w:tr>
      <w:tr>
        <w:tc>
          <w:tcPr>
            <w:tcW w:type="dxa" w:w="6500"/>
            <w:shd w:fill="F2F2F2" w:val="clear"/>
            <w:tcMar>
              <w:top w:type="dxa" w:w="100"/>
              <w:left w:type="dxa" w:w="120"/>
              <w:bottom w:type="dxa" w:w="100"/>
              <w:right w:type="dxa" w:w="120"/>
            </w:tcMar>
          </w:tcPr>
          <w:p>
            <w:pPr>
              <w:jc w:val="left"/>
            </w:pPr>
            <w:r>
              <w:rPr>
                <w:b w:val="false"/>
                <w:bCs w:val="false"/>
                <w:sz w:val="20"/>
                <w:szCs w:val="20"/>
              </w:rPr>
              <w:t xml:space="preserve">Customers mentioning "Too Expensive" are more likely to leave permanently.</w:t>
            </w:r>
          </w:p>
        </w:tc>
        <w:tc>
          <w:tcPr>
            <w:tcW w:type="dxa" w:w="2800"/>
            <w:shd w:fill="F2F2F2" w:val="clear"/>
            <w:tcMar>
              <w:top w:type="dxa" w:w="100"/>
              <w:left w:type="dxa" w:w="120"/>
              <w:bottom w:type="dxa" w:w="100"/>
              <w:right w:type="dxa" w:w="120"/>
            </w:tcMar>
          </w:tcPr>
          <w:p>
            <w:pPr>
              <w:jc w:val="left"/>
            </w:pPr>
            <w:r>
              <w:rPr>
                <w:b w:val="false"/>
                <w:bCs w:val="false"/>
                <w:sz w:val="20"/>
                <w:szCs w:val="20"/>
              </w:rPr>
              <w:t xml:space="preserve">Product</w:t>
            </w:r>
          </w:p>
        </w:tc>
      </w:tr>
      <w:tr>
        <w:tc>
          <w:tcPr>
            <w:tcW w:type="dxa" w:w="6500"/>
            <w:tcMar>
              <w:top w:type="dxa" w:w="100"/>
              <w:left w:type="dxa" w:w="120"/>
              <w:bottom w:type="dxa" w:w="100"/>
              <w:right w:type="dxa" w:w="120"/>
            </w:tcMar>
          </w:tcPr>
          <w:p>
            <w:pPr>
              <w:jc w:val="left"/>
            </w:pPr>
            <w:r>
              <w:rPr>
                <w:b w:val="false"/>
                <w:bCs w:val="false"/>
                <w:sz w:val="20"/>
                <w:szCs w:val="20"/>
              </w:rPr>
              <w:t xml:space="preserve">Streaming-related complaints reduce customer satisfaction.</w:t>
            </w:r>
          </w:p>
        </w:tc>
        <w:tc>
          <w:tcPr>
            <w:tcW w:type="dxa" w:w="2800"/>
            <w:tcMar>
              <w:top w:type="dxa" w:w="100"/>
              <w:left w:type="dxa" w:w="120"/>
              <w:bottom w:type="dxa" w:w="100"/>
              <w:right w:type="dxa" w:w="120"/>
            </w:tcMar>
          </w:tcPr>
          <w:p>
            <w:pPr>
              <w:jc w:val="left"/>
            </w:pPr>
            <w:r>
              <w:rPr>
                <w:b w:val="false"/>
                <w:bCs w:val="false"/>
                <w:sz w:val="20"/>
                <w:szCs w:val="20"/>
              </w:rPr>
              <w:t xml:space="preserve">Product</w:t>
            </w:r>
          </w:p>
        </w:tc>
      </w:tr>
      <w:tr>
        <w:tc>
          <w:tcPr>
            <w:tcW w:type="dxa" w:w="6500"/>
            <w:shd w:fill="F2F2F2" w:val="clear"/>
            <w:tcMar>
              <w:top w:type="dxa" w:w="100"/>
              <w:left w:type="dxa" w:w="120"/>
              <w:bottom w:type="dxa" w:w="100"/>
              <w:right w:type="dxa" w:w="120"/>
            </w:tcMar>
          </w:tcPr>
          <w:p>
            <w:pPr>
              <w:jc w:val="left"/>
            </w:pPr>
            <w:r>
              <w:rPr>
                <w:b w:val="false"/>
                <w:bCs w:val="false"/>
                <w:sz w:val="20"/>
                <w:szCs w:val="20"/>
              </w:rPr>
              <w:t xml:space="preserve">Annual subscribers are significantly more loyal than Monthly subscribers.</w:t>
            </w:r>
          </w:p>
        </w:tc>
        <w:tc>
          <w:tcPr>
            <w:tcW w:type="dxa" w:w="2800"/>
            <w:shd w:fill="F2F2F2" w:val="clear"/>
            <w:tcMar>
              <w:top w:type="dxa" w:w="100"/>
              <w:left w:type="dxa" w:w="120"/>
              <w:bottom w:type="dxa" w:w="100"/>
              <w:right w:type="dxa" w:w="120"/>
            </w:tcMar>
          </w:tcPr>
          <w:p>
            <w:pPr>
              <w:jc w:val="left"/>
            </w:pPr>
            <w:r>
              <w:rPr>
                <w:b w:val="false"/>
                <w:bCs w:val="false"/>
                <w:sz w:val="20"/>
                <w:szCs w:val="20"/>
              </w:rPr>
              <w:t xml:space="preserve">Product (identified as the most consequential assumption)</w:t>
            </w:r>
          </w:p>
        </w:tc>
      </w:tr>
      <w:tr>
        <w:tc>
          <w:tcPr>
            <w:tcW w:type="dxa" w:w="6500"/>
            <w:tcMar>
              <w:top w:type="dxa" w:w="100"/>
              <w:left w:type="dxa" w:w="120"/>
              <w:bottom w:type="dxa" w:w="100"/>
              <w:right w:type="dxa" w:w="120"/>
            </w:tcMar>
          </w:tcPr>
          <w:p>
            <w:pPr>
              <w:jc w:val="left"/>
            </w:pPr>
            <w:r>
              <w:rPr>
                <w:b w:val="false"/>
                <w:bCs w:val="false"/>
                <w:sz w:val="20"/>
                <w:szCs w:val="20"/>
              </w:rPr>
              <w:t xml:space="preserve">Customers with low CSAT scores are more likely to churn.</w:t>
            </w:r>
          </w:p>
        </w:tc>
        <w:tc>
          <w:tcPr>
            <w:tcW w:type="dxa" w:w="2800"/>
            <w:tcMar>
              <w:top w:type="dxa" w:w="100"/>
              <w:left w:type="dxa" w:w="120"/>
              <w:bottom w:type="dxa" w:w="100"/>
              <w:right w:type="dxa" w:w="120"/>
            </w:tcMar>
          </w:tcPr>
          <w:p>
            <w:pPr>
              <w:jc w:val="left"/>
            </w:pPr>
            <w:r>
              <w:rPr>
                <w:b w:val="false"/>
                <w:bCs w:val="false"/>
                <w:sz w:val="20"/>
                <w:szCs w:val="20"/>
              </w:rPr>
              <w:t xml:space="preserve">Customer Support</w:t>
            </w:r>
          </w:p>
        </w:tc>
      </w:tr>
      <w:tr>
        <w:tc>
          <w:tcPr>
            <w:tcW w:type="dxa" w:w="6500"/>
            <w:shd w:fill="F2F2F2" w:val="clear"/>
            <w:tcMar>
              <w:top w:type="dxa" w:w="100"/>
              <w:left w:type="dxa" w:w="120"/>
              <w:bottom w:type="dxa" w:w="100"/>
              <w:right w:type="dxa" w:w="120"/>
            </w:tcMar>
          </w:tcPr>
          <w:p>
            <w:pPr>
              <w:jc w:val="left"/>
            </w:pPr>
            <w:r>
              <w:rPr>
                <w:b w:val="false"/>
                <w:bCs w:val="false"/>
                <w:sz w:val="20"/>
                <w:szCs w:val="20"/>
              </w:rPr>
              <w:t xml:space="preserve">Escalated complaints have a higher cancellation rate.</w:t>
            </w:r>
          </w:p>
        </w:tc>
        <w:tc>
          <w:tcPr>
            <w:tcW w:type="dxa" w:w="2800"/>
            <w:shd w:fill="F2F2F2" w:val="clear"/>
            <w:tcMar>
              <w:top w:type="dxa" w:w="100"/>
              <w:left w:type="dxa" w:w="120"/>
              <w:bottom w:type="dxa" w:w="100"/>
              <w:right w:type="dxa" w:w="120"/>
            </w:tcMar>
          </w:tcPr>
          <w:p>
            <w:pPr>
              <w:jc w:val="left"/>
            </w:pPr>
            <w:r>
              <w:rPr>
                <w:b w:val="false"/>
                <w:bCs w:val="false"/>
                <w:sz w:val="20"/>
                <w:szCs w:val="20"/>
              </w:rPr>
              <w:t xml:space="preserve">Customer Support</w:t>
            </w:r>
          </w:p>
        </w:tc>
      </w:tr>
      <w:tr>
        <w:tc>
          <w:tcPr>
            <w:tcW w:type="dxa" w:w="6500"/>
            <w:tcMar>
              <w:top w:type="dxa" w:w="100"/>
              <w:left w:type="dxa" w:w="120"/>
              <w:bottom w:type="dxa" w:w="100"/>
              <w:right w:type="dxa" w:w="120"/>
            </w:tcMar>
          </w:tcPr>
          <w:p>
            <w:pPr>
              <w:jc w:val="left"/>
            </w:pPr>
            <w:r>
              <w:rPr>
                <w:b w:val="false"/>
                <w:bCs w:val="false"/>
                <w:sz w:val="20"/>
                <w:szCs w:val="20"/>
              </w:rPr>
              <w:t xml:space="preserve">Billing complaints require more follow-up than other complaint types.</w:t>
            </w:r>
          </w:p>
        </w:tc>
        <w:tc>
          <w:tcPr>
            <w:tcW w:type="dxa" w:w="2800"/>
            <w:tcMar>
              <w:top w:type="dxa" w:w="100"/>
              <w:left w:type="dxa" w:w="120"/>
              <w:bottom w:type="dxa" w:w="100"/>
              <w:right w:type="dxa" w:w="120"/>
            </w:tcMar>
          </w:tcPr>
          <w:p>
            <w:pPr>
              <w:jc w:val="left"/>
            </w:pPr>
            <w:r>
              <w:rPr>
                <w:b w:val="false"/>
                <w:bCs w:val="false"/>
                <w:sz w:val="20"/>
                <w:szCs w:val="20"/>
              </w:rPr>
              <w:t xml:space="preserve">Customer Support</w:t>
            </w:r>
          </w:p>
        </w:tc>
      </w:tr>
      <w:tr>
        <w:tc>
          <w:tcPr>
            <w:tcW w:type="dxa" w:w="6500"/>
            <w:shd w:fill="F2F2F2" w:val="clear"/>
            <w:tcMar>
              <w:top w:type="dxa" w:w="100"/>
              <w:left w:type="dxa" w:w="120"/>
              <w:bottom w:type="dxa" w:w="100"/>
              <w:right w:type="dxa" w:w="120"/>
            </w:tcMar>
          </w:tcPr>
          <w:p>
            <w:pPr>
              <w:jc w:val="left"/>
            </w:pPr>
            <w:r>
              <w:rPr>
                <w:b w:val="false"/>
                <w:bCs w:val="false"/>
                <w:sz w:val="20"/>
                <w:szCs w:val="20"/>
              </w:rPr>
              <w:t xml:space="preserve">Customers who contact support multiple times are less likely to renew.</w:t>
            </w:r>
          </w:p>
        </w:tc>
        <w:tc>
          <w:tcPr>
            <w:tcW w:type="dxa" w:w="2800"/>
            <w:shd w:fill="F2F2F2" w:val="clear"/>
            <w:tcMar>
              <w:top w:type="dxa" w:w="100"/>
              <w:left w:type="dxa" w:w="120"/>
              <w:bottom w:type="dxa" w:w="100"/>
              <w:right w:type="dxa" w:w="120"/>
            </w:tcMar>
          </w:tcPr>
          <w:p>
            <w:pPr>
              <w:jc w:val="left"/>
            </w:pPr>
            <w:r>
              <w:rPr>
                <w:b w:val="false"/>
                <w:bCs w:val="false"/>
                <w:sz w:val="20"/>
                <w:szCs w:val="20"/>
              </w:rPr>
              <w:t xml:space="preserve">Customer Support</w:t>
            </w:r>
          </w:p>
        </w:tc>
      </w:tr>
      <w:tr>
        <w:tc>
          <w:tcPr>
            <w:tcW w:type="dxa" w:w="6500"/>
            <w:tcMar>
              <w:top w:type="dxa" w:w="100"/>
              <w:left w:type="dxa" w:w="120"/>
              <w:bottom w:type="dxa" w:w="100"/>
              <w:right w:type="dxa" w:w="120"/>
            </w:tcMar>
          </w:tcPr>
          <w:p>
            <w:pPr>
              <w:jc w:val="left"/>
            </w:pPr>
            <w:r>
              <w:rPr>
                <w:b w:val="false"/>
                <w:bCs w:val="false"/>
                <w:sz w:val="20"/>
                <w:szCs w:val="20"/>
              </w:rPr>
              <w:t xml:space="preserve">Referral customers are more loyal than paid customers.</w:t>
            </w:r>
          </w:p>
        </w:tc>
        <w:tc>
          <w:tcPr>
            <w:tcW w:type="dxa" w:w="2800"/>
            <w:tcMar>
              <w:top w:type="dxa" w:w="100"/>
              <w:left w:type="dxa" w:w="120"/>
              <w:bottom w:type="dxa" w:w="100"/>
              <w:right w:type="dxa" w:w="120"/>
            </w:tcMar>
          </w:tcPr>
          <w:p>
            <w:pPr>
              <w:jc w:val="left"/>
            </w:pPr>
            <w:r>
              <w:rPr>
                <w:b w:val="false"/>
                <w:bCs w:val="false"/>
                <w:sz w:val="20"/>
                <w:szCs w:val="20"/>
              </w:rPr>
              <w:t xml:space="preserve">Marketing</w:t>
            </w:r>
          </w:p>
        </w:tc>
      </w:tr>
    </w:tbl>
    <w:p>
      <w:pPr>
        <w:pStyle w:val="Heading1"/>
        <w:spacing w:after="200" w:before="400"/>
      </w:pPr>
      <w:r>
        <w:t xml:space="preserve">8. Scope of the Analysis</w:t>
      </w:r>
    </w:p>
    <w:p>
      <w:pPr>
        <w:pStyle w:val="Heading2"/>
        <w:spacing w:after="150" w:before="300"/>
      </w:pPr>
      <w:r>
        <w:t xml:space="preserve">In Scope</w:t>
      </w:r>
    </w:p>
    <w:p>
      <w:pPr>
        <w:pStyle w:val="ListParagraph"/>
        <w:numPr>
          <w:ilvl w:val="0"/>
          <w:numId w:val="2"/>
        </w:numPr>
        <w:spacing w:after="80" w:line="276"/>
      </w:pPr>
      <w:r>
        <w:rPr>
          <w:sz w:val="22"/>
          <w:szCs w:val="22"/>
        </w:rPr>
        <w:t xml:space="preserve">Churn driver analysis across subscription, support, and demographic data.</w:t>
      </w:r>
    </w:p>
    <w:p>
      <w:pPr>
        <w:pStyle w:val="ListParagraph"/>
        <w:numPr>
          <w:ilvl w:val="0"/>
          <w:numId w:val="2"/>
        </w:numPr>
        <w:spacing w:after="80" w:line="276"/>
      </w:pPr>
      <w:r>
        <w:rPr>
          <w:sz w:val="22"/>
          <w:szCs w:val="22"/>
        </w:rPr>
        <w:t xml:space="preserve">Customer segmentation by value (CLTV), risk (churn likelihood), and behavior.</w:t>
      </w:r>
    </w:p>
    <w:p>
      <w:pPr>
        <w:pStyle w:val="ListParagraph"/>
        <w:numPr>
          <w:ilvl w:val="0"/>
          <w:numId w:val="2"/>
        </w:numPr>
        <w:spacing w:after="80" w:line="276"/>
      </w:pPr>
      <w:r>
        <w:rPr>
          <w:sz w:val="22"/>
          <w:szCs w:val="22"/>
        </w:rPr>
        <w:t xml:space="preserve">Acquisition channel performance analysis, to the extent channel-level data is available.</w:t>
      </w:r>
    </w:p>
    <w:p>
      <w:pPr>
        <w:pStyle w:val="ListParagraph"/>
        <w:numPr>
          <w:ilvl w:val="0"/>
          <w:numId w:val="2"/>
        </w:numPr>
        <w:spacing w:after="80" w:line="276"/>
      </w:pPr>
      <w:r>
        <w:rPr>
          <w:sz w:val="22"/>
          <w:szCs w:val="22"/>
        </w:rPr>
        <w:t xml:space="preserve">Subscription plan performance analysis, including Monthly vs. Annual comparison.</w:t>
      </w:r>
    </w:p>
    <w:p>
      <w:pPr>
        <w:pStyle w:val="ListParagraph"/>
        <w:numPr>
          <w:ilvl w:val="0"/>
          <w:numId w:val="2"/>
        </w:numPr>
        <w:spacing w:after="80" w:line="276"/>
      </w:pPr>
      <w:r>
        <w:rPr>
          <w:sz w:val="22"/>
          <w:szCs w:val="22"/>
        </w:rPr>
        <w:t xml:space="preserve">Support-to-churn relationship analysis using Complaint Category, Escalation, and CSAT.</w:t>
      </w:r>
    </w:p>
    <w:p>
      <w:pPr>
        <w:pStyle w:val="ListParagraph"/>
        <w:numPr>
          <w:ilvl w:val="0"/>
          <w:numId w:val="2"/>
        </w:numPr>
        <w:spacing w:after="80" w:line="276"/>
      </w:pPr>
      <w:r>
        <w:rPr>
          <w:sz w:val="22"/>
          <w:szCs w:val="22"/>
        </w:rPr>
        <w:t xml:space="preserve">Revenue impact estimation, including lost MRR/ARR and lost CLTV.</w:t>
      </w:r>
    </w:p>
    <w:p>
      <w:pPr>
        <w:pStyle w:val="ListParagraph"/>
        <w:numPr>
          <w:ilvl w:val="0"/>
          <w:numId w:val="2"/>
        </w:numPr>
        <w:spacing w:after="80" w:line="276"/>
      </w:pPr>
      <w:r>
        <w:rPr>
          <w:sz w:val="22"/>
          <w:szCs w:val="22"/>
        </w:rPr>
        <w:t xml:space="preserve">Identification of currently active, high-value customers at risk of churning.</w:t>
      </w:r>
    </w:p>
    <w:p>
      <w:pPr>
        <w:pStyle w:val="ListParagraph"/>
        <w:numPr>
          <w:ilvl w:val="0"/>
          <w:numId w:val="2"/>
        </w:numPr>
        <w:spacing w:after="80" w:line="276"/>
      </w:pPr>
      <w:r>
        <w:rPr>
          <w:sz w:val="22"/>
          <w:szCs w:val="22"/>
        </w:rPr>
        <w:t xml:space="preserve">A monthly-refreshed dashboard to support ongoing monitoring by Finance.</w:t>
      </w:r>
    </w:p>
    <w:p>
      <w:pPr>
        <w:pStyle w:val="Heading2"/>
        <w:spacing w:after="150" w:before="300"/>
      </w:pPr>
      <w:r>
        <w:t xml:space="preserve">Out of Scope</w:t>
      </w:r>
    </w:p>
    <w:p>
      <w:pPr>
        <w:pStyle w:val="ListParagraph"/>
        <w:numPr>
          <w:ilvl w:val="0"/>
          <w:numId w:val="2"/>
        </w:numPr>
        <w:spacing w:after="80" w:line="276"/>
      </w:pPr>
      <w:r>
        <w:rPr>
          <w:sz w:val="22"/>
          <w:szCs w:val="22"/>
        </w:rPr>
        <w:t xml:space="preserve">Precise acquisition cost (CAC) calculation at the campaign level, due to unavailable campaign-level cost data.</w:t>
      </w:r>
    </w:p>
    <w:p>
      <w:pPr>
        <w:pStyle w:val="ListParagraph"/>
        <w:numPr>
          <w:ilvl w:val="0"/>
          <w:numId w:val="2"/>
        </w:numPr>
        <w:spacing w:after="80" w:line="276"/>
      </w:pPr>
      <w:r>
        <w:rPr>
          <w:sz w:val="22"/>
          <w:szCs w:val="22"/>
        </w:rPr>
        <w:t xml:space="preserve">Precise net-profitability calculation inclusive of servicing cost, due to unavailable servicing cost data.</w:t>
      </w:r>
    </w:p>
    <w:p>
      <w:pPr>
        <w:pStyle w:val="ListParagraph"/>
        <w:numPr>
          <w:ilvl w:val="0"/>
          <w:numId w:val="2"/>
        </w:numPr>
        <w:spacing w:after="80" w:line="276"/>
      </w:pPr>
      <w:r>
        <w:rPr>
          <w:sz w:val="22"/>
          <w:szCs w:val="22"/>
        </w:rPr>
        <w:t xml:space="preserve">Campaign-level ROI calculation.</w:t>
      </w:r>
    </w:p>
    <w:p>
      <w:pPr>
        <w:pStyle w:val="ListParagraph"/>
        <w:numPr>
          <w:ilvl w:val="0"/>
          <w:numId w:val="2"/>
        </w:numPr>
        <w:spacing w:after="80" w:line="276"/>
      </w:pPr>
      <w:r>
        <w:rPr>
          <w:sz w:val="22"/>
          <w:szCs w:val="22"/>
        </w:rPr>
        <w:t xml:space="preserve">Demographic-specific subscription plan design.</w:t>
      </w:r>
    </w:p>
    <w:p>
      <w:pPr>
        <w:pStyle w:val="ListParagraph"/>
        <w:numPr>
          <w:ilvl w:val="0"/>
          <w:numId w:val="2"/>
        </w:numPr>
        <w:spacing w:after="80" w:line="276"/>
      </w:pPr>
      <w:r>
        <w:rPr>
          <w:sz w:val="22"/>
          <w:szCs w:val="22"/>
        </w:rPr>
        <w:t xml:space="preserve">Real-time complaint intervention system build — the analysis will inform this as a future initiative rather than deliver it directly.</w:t>
      </w:r>
    </w:p>
    <w:p>
      <w:pPr>
        <w:pStyle w:val="Heading1"/>
        <w:spacing w:after="200" w:before="400"/>
      </w:pPr>
      <w:r>
        <w:t xml:space="preserve">9. Deliverables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600"/>
        <w:gridCol w:w="3700"/>
      </w:tblGrid>
      <w:tr>
        <w:trPr>
          <w:tblHeader/>
        </w:trPr>
        <w:tc>
          <w:tcPr>
            <w:tcW w:type="dxa" w:w="5600"/>
            <w:shd w:fill="1F3864" w:val="clear"/>
            <w:tcMar>
              <w:top w:type="dxa" w:w="100"/>
              <w:left w:type="dxa" w:w="120"/>
              <w:bottom w:type="dxa" w:w="100"/>
              <w:right w:type="dxa" w:w="120"/>
            </w:tcMar>
          </w:tcPr>
          <w:p>
            <w:r>
              <w:rPr>
                <w:b/>
                <w:bCs/>
                <w:color w:val="FFFFFF"/>
                <w:sz w:val="20"/>
                <w:szCs w:val="20"/>
              </w:rPr>
              <w:t xml:space="preserve">Deliverable</w:t>
            </w:r>
          </w:p>
        </w:tc>
        <w:tc>
          <w:tcPr>
            <w:tcW w:type="dxa" w:w="3700"/>
            <w:shd w:fill="1F3864" w:val="clear"/>
            <w:tcMar>
              <w:top w:type="dxa" w:w="100"/>
              <w:left w:type="dxa" w:w="120"/>
              <w:bottom w:type="dxa" w:w="100"/>
              <w:right w:type="dxa" w:w="120"/>
            </w:tcMar>
          </w:tcPr>
          <w:p>
            <w:r>
              <w:rPr>
                <w:b/>
                <w:bCs/>
                <w:color w:val="FFFFFF"/>
                <w:sz w:val="20"/>
                <w:szCs w:val="20"/>
              </w:rPr>
              <w:t xml:space="preserve">Primary Audience</w:t>
            </w:r>
          </w:p>
        </w:tc>
      </w:tr>
      <w:tr>
        <w:tc>
          <w:tcPr>
            <w:tcW w:type="dxa" w:w="5600"/>
            <w:tcMar>
              <w:top w:type="dxa" w:w="100"/>
              <w:left w:type="dxa" w:w="120"/>
              <w:bottom w:type="dxa" w:w="100"/>
              <w:right w:type="dxa" w:w="120"/>
            </w:tcMar>
          </w:tcPr>
          <w:p>
            <w:pPr>
              <w:jc w:val="left"/>
            </w:pPr>
            <w:r>
              <w:rPr>
                <w:b w:val="false"/>
                <w:bCs w:val="false"/>
                <w:sz w:val="20"/>
                <w:szCs w:val="20"/>
              </w:rPr>
              <w:t xml:space="preserve">Churn driver analysis with validated/rejected assumptions</w:t>
            </w:r>
          </w:p>
        </w:tc>
        <w:tc>
          <w:tcPr>
            <w:tcW w:type="dxa" w:w="3700"/>
            <w:tcMar>
              <w:top w:type="dxa" w:w="100"/>
              <w:left w:type="dxa" w:w="120"/>
              <w:bottom w:type="dxa" w:w="100"/>
              <w:right w:type="dxa" w:w="120"/>
            </w:tcMar>
          </w:tcPr>
          <w:p>
            <w:pPr>
              <w:jc w:val="left"/>
            </w:pPr>
            <w:r>
              <w:rPr>
                <w:b w:val="false"/>
                <w:bCs w:val="false"/>
                <w:sz w:val="20"/>
                <w:szCs w:val="20"/>
              </w:rPr>
              <w:t xml:space="preserve">CEO, Product</w:t>
            </w:r>
          </w:p>
        </w:tc>
      </w:tr>
      <w:tr>
        <w:tc>
          <w:tcPr>
            <w:tcW w:type="dxa" w:w="5600"/>
            <w:shd w:fill="F2F2F2" w:val="clear"/>
            <w:tcMar>
              <w:top w:type="dxa" w:w="100"/>
              <w:left w:type="dxa" w:w="120"/>
              <w:bottom w:type="dxa" w:w="100"/>
              <w:right w:type="dxa" w:w="120"/>
            </w:tcMar>
          </w:tcPr>
          <w:p>
            <w:pPr>
              <w:jc w:val="left"/>
            </w:pPr>
            <w:r>
              <w:rPr>
                <w:b w:val="false"/>
                <w:bCs w:val="false"/>
                <w:sz w:val="20"/>
                <w:szCs w:val="20"/>
              </w:rPr>
              <w:t xml:space="preserve">Customer segmentation (value, risk, behavior)</w:t>
            </w:r>
          </w:p>
        </w:tc>
        <w:tc>
          <w:tcPr>
            <w:tcW w:type="dxa" w:w="3700"/>
            <w:shd w:fill="F2F2F2" w:val="clear"/>
            <w:tcMar>
              <w:top w:type="dxa" w:w="100"/>
              <w:left w:type="dxa" w:w="120"/>
              <w:bottom w:type="dxa" w:w="100"/>
              <w:right w:type="dxa" w:w="120"/>
            </w:tcMar>
          </w:tcPr>
          <w:p>
            <w:pPr>
              <w:jc w:val="left"/>
            </w:pPr>
            <w:r>
              <w:rPr>
                <w:b w:val="false"/>
                <w:bCs w:val="false"/>
                <w:sz w:val="20"/>
                <w:szCs w:val="20"/>
              </w:rPr>
              <w:t xml:space="preserve">CEO, Marketing, Finance</w:t>
            </w:r>
          </w:p>
        </w:tc>
      </w:tr>
      <w:tr>
        <w:tc>
          <w:tcPr>
            <w:tcW w:type="dxa" w:w="5600"/>
            <w:tcMar>
              <w:top w:type="dxa" w:w="100"/>
              <w:left w:type="dxa" w:w="120"/>
              <w:bottom w:type="dxa" w:w="100"/>
              <w:right w:type="dxa" w:w="120"/>
            </w:tcMar>
          </w:tcPr>
          <w:p>
            <w:pPr>
              <w:jc w:val="left"/>
            </w:pPr>
            <w:r>
              <w:rPr>
                <w:b w:val="false"/>
                <w:bCs w:val="false"/>
                <w:sz w:val="20"/>
                <w:szCs w:val="20"/>
              </w:rPr>
              <w:t xml:space="preserve">Acquisition channel performance report</w:t>
            </w:r>
          </w:p>
        </w:tc>
        <w:tc>
          <w:tcPr>
            <w:tcW w:type="dxa" w:w="3700"/>
            <w:tcMar>
              <w:top w:type="dxa" w:w="100"/>
              <w:left w:type="dxa" w:w="120"/>
              <w:bottom w:type="dxa" w:w="100"/>
              <w:right w:type="dxa" w:w="120"/>
            </w:tcMar>
          </w:tcPr>
          <w:p>
            <w:pPr>
              <w:jc w:val="left"/>
            </w:pPr>
            <w:r>
              <w:rPr>
                <w:b w:val="false"/>
                <w:bCs w:val="false"/>
                <w:sz w:val="20"/>
                <w:szCs w:val="20"/>
              </w:rPr>
              <w:t xml:space="preserve">Marketing</w:t>
            </w:r>
          </w:p>
        </w:tc>
      </w:tr>
      <w:tr>
        <w:tc>
          <w:tcPr>
            <w:tcW w:type="dxa" w:w="5600"/>
            <w:shd w:fill="F2F2F2" w:val="clear"/>
            <w:tcMar>
              <w:top w:type="dxa" w:w="100"/>
              <w:left w:type="dxa" w:w="120"/>
              <w:bottom w:type="dxa" w:w="100"/>
              <w:right w:type="dxa" w:w="120"/>
            </w:tcMar>
          </w:tcPr>
          <w:p>
            <w:pPr>
              <w:jc w:val="left"/>
            </w:pPr>
            <w:r>
              <w:rPr>
                <w:b w:val="false"/>
                <w:bCs w:val="false"/>
                <w:sz w:val="20"/>
                <w:szCs w:val="20"/>
              </w:rPr>
              <w:t xml:space="preserve">Subscription plan performance report</w:t>
            </w:r>
          </w:p>
        </w:tc>
        <w:tc>
          <w:tcPr>
            <w:tcW w:type="dxa" w:w="3700"/>
            <w:shd w:fill="F2F2F2" w:val="clear"/>
            <w:tcMar>
              <w:top w:type="dxa" w:w="100"/>
              <w:left w:type="dxa" w:w="120"/>
              <w:bottom w:type="dxa" w:w="100"/>
              <w:right w:type="dxa" w:w="120"/>
            </w:tcMar>
          </w:tcPr>
          <w:p>
            <w:pPr>
              <w:jc w:val="left"/>
            </w:pPr>
            <w:r>
              <w:rPr>
                <w:b w:val="false"/>
                <w:bCs w:val="false"/>
                <w:sz w:val="20"/>
                <w:szCs w:val="20"/>
              </w:rPr>
              <w:t xml:space="preserve">Product, Finance</w:t>
            </w:r>
          </w:p>
        </w:tc>
      </w:tr>
      <w:tr>
        <w:tc>
          <w:tcPr>
            <w:tcW w:type="dxa" w:w="5600"/>
            <w:tcMar>
              <w:top w:type="dxa" w:w="100"/>
              <w:left w:type="dxa" w:w="120"/>
              <w:bottom w:type="dxa" w:w="100"/>
              <w:right w:type="dxa" w:w="120"/>
            </w:tcMar>
          </w:tcPr>
          <w:p>
            <w:pPr>
              <w:jc w:val="left"/>
            </w:pPr>
            <w:r>
              <w:rPr>
                <w:b w:val="false"/>
                <w:bCs w:val="false"/>
                <w:sz w:val="20"/>
                <w:szCs w:val="20"/>
              </w:rPr>
              <w:t xml:space="preserve">Support-to-churn relationship analysis</w:t>
            </w:r>
          </w:p>
        </w:tc>
        <w:tc>
          <w:tcPr>
            <w:tcW w:type="dxa" w:w="3700"/>
            <w:tcMar>
              <w:top w:type="dxa" w:w="100"/>
              <w:left w:type="dxa" w:w="120"/>
              <w:bottom w:type="dxa" w:w="100"/>
              <w:right w:type="dxa" w:w="120"/>
            </w:tcMar>
          </w:tcPr>
          <w:p>
            <w:pPr>
              <w:jc w:val="left"/>
            </w:pPr>
            <w:r>
              <w:rPr>
                <w:b w:val="false"/>
                <w:bCs w:val="false"/>
                <w:sz w:val="20"/>
                <w:szCs w:val="20"/>
              </w:rPr>
              <w:t xml:space="preserve">Customer Support</w:t>
            </w:r>
          </w:p>
        </w:tc>
      </w:tr>
      <w:tr>
        <w:tc>
          <w:tcPr>
            <w:tcW w:type="dxa" w:w="5600"/>
            <w:shd w:fill="F2F2F2" w:val="clear"/>
            <w:tcMar>
              <w:top w:type="dxa" w:w="100"/>
              <w:left w:type="dxa" w:w="120"/>
              <w:bottom w:type="dxa" w:w="100"/>
              <w:right w:type="dxa" w:w="120"/>
            </w:tcMar>
          </w:tcPr>
          <w:p>
            <w:pPr>
              <w:jc w:val="left"/>
            </w:pPr>
            <w:r>
              <w:rPr>
                <w:b w:val="false"/>
                <w:bCs w:val="false"/>
                <w:sz w:val="20"/>
                <w:szCs w:val="20"/>
              </w:rPr>
              <w:t xml:space="preserve">Revenue impact estimate (lost MRR/ARR, lost CLTV)</w:t>
            </w:r>
          </w:p>
        </w:tc>
        <w:tc>
          <w:tcPr>
            <w:tcW w:type="dxa" w:w="3700"/>
            <w:shd w:fill="F2F2F2" w:val="clear"/>
            <w:tcMar>
              <w:top w:type="dxa" w:w="100"/>
              <w:left w:type="dxa" w:w="120"/>
              <w:bottom w:type="dxa" w:w="100"/>
              <w:right w:type="dxa" w:w="120"/>
            </w:tcMar>
          </w:tcPr>
          <w:p>
            <w:pPr>
              <w:jc w:val="left"/>
            </w:pPr>
            <w:r>
              <w:rPr>
                <w:b w:val="false"/>
                <w:bCs w:val="false"/>
                <w:sz w:val="20"/>
                <w:szCs w:val="20"/>
              </w:rPr>
              <w:t xml:space="preserve">Finance</w:t>
            </w:r>
          </w:p>
        </w:tc>
      </w:tr>
      <w:tr>
        <w:tc>
          <w:tcPr>
            <w:tcW w:type="dxa" w:w="5600"/>
            <w:tcMar>
              <w:top w:type="dxa" w:w="100"/>
              <w:left w:type="dxa" w:w="120"/>
              <w:bottom w:type="dxa" w:w="100"/>
              <w:right w:type="dxa" w:w="120"/>
            </w:tcMar>
          </w:tcPr>
          <w:p>
            <w:pPr>
              <w:jc w:val="left"/>
            </w:pPr>
            <w:r>
              <w:rPr>
                <w:b w:val="false"/>
                <w:bCs w:val="false"/>
                <w:sz w:val="20"/>
                <w:szCs w:val="20"/>
              </w:rPr>
              <w:t xml:space="preserve">At-risk high-value active customer list</w:t>
            </w:r>
          </w:p>
        </w:tc>
        <w:tc>
          <w:tcPr>
            <w:tcW w:type="dxa" w:w="3700"/>
            <w:tcMar>
              <w:top w:type="dxa" w:w="100"/>
              <w:left w:type="dxa" w:w="120"/>
              <w:bottom w:type="dxa" w:w="100"/>
              <w:right w:type="dxa" w:w="120"/>
            </w:tcMar>
          </w:tcPr>
          <w:p>
            <w:pPr>
              <w:jc w:val="left"/>
            </w:pPr>
            <w:r>
              <w:rPr>
                <w:b w:val="false"/>
                <w:bCs w:val="false"/>
                <w:sz w:val="20"/>
                <w:szCs w:val="20"/>
              </w:rPr>
              <w:t xml:space="preserve">Finance, Customer Support</w:t>
            </w:r>
          </w:p>
        </w:tc>
      </w:tr>
      <w:tr>
        <w:tc>
          <w:tcPr>
            <w:tcW w:type="dxa" w:w="5600"/>
            <w:shd w:fill="F2F2F2" w:val="clear"/>
            <w:tcMar>
              <w:top w:type="dxa" w:w="100"/>
              <w:left w:type="dxa" w:w="120"/>
              <w:bottom w:type="dxa" w:w="100"/>
              <w:right w:type="dxa" w:w="120"/>
            </w:tcMar>
          </w:tcPr>
          <w:p>
            <w:pPr>
              <w:jc w:val="left"/>
            </w:pPr>
            <w:r>
              <w:rPr>
                <w:b w:val="false"/>
                <w:bCs w:val="false"/>
                <w:sz w:val="20"/>
                <w:szCs w:val="20"/>
              </w:rPr>
              <w:t xml:space="preserve">Prioritized, action-oriented recommendations by department</w:t>
            </w:r>
          </w:p>
        </w:tc>
        <w:tc>
          <w:tcPr>
            <w:tcW w:type="dxa" w:w="3700"/>
            <w:shd w:fill="F2F2F2" w:val="clear"/>
            <w:tcMar>
              <w:top w:type="dxa" w:w="100"/>
              <w:left w:type="dxa" w:w="120"/>
              <w:bottom w:type="dxa" w:w="100"/>
              <w:right w:type="dxa" w:w="120"/>
            </w:tcMar>
          </w:tcPr>
          <w:p>
            <w:pPr>
              <w:jc w:val="left"/>
            </w:pPr>
            <w:r>
              <w:rPr>
                <w:b w:val="false"/>
                <w:bCs w:val="false"/>
                <w:sz w:val="20"/>
                <w:szCs w:val="20"/>
              </w:rPr>
              <w:t xml:space="preserve">All stakeholders</w:t>
            </w:r>
          </w:p>
        </w:tc>
      </w:tr>
      <w:tr>
        <w:tc>
          <w:tcPr>
            <w:tcW w:type="dxa" w:w="5600"/>
            <w:tcMar>
              <w:top w:type="dxa" w:w="100"/>
              <w:left w:type="dxa" w:w="120"/>
              <w:bottom w:type="dxa" w:w="100"/>
              <w:right w:type="dxa" w:w="120"/>
            </w:tcMar>
          </w:tcPr>
          <w:p>
            <w:pPr>
              <w:jc w:val="left"/>
            </w:pPr>
            <w:r>
              <w:rPr>
                <w:b w:val="false"/>
                <w:bCs w:val="false"/>
                <w:sz w:val="20"/>
                <w:szCs w:val="20"/>
              </w:rPr>
              <w:t xml:space="preserve">Monthly-refreshed monitoring dashboard</w:t>
            </w:r>
          </w:p>
        </w:tc>
        <w:tc>
          <w:tcPr>
            <w:tcW w:type="dxa" w:w="3700"/>
            <w:tcMar>
              <w:top w:type="dxa" w:w="100"/>
              <w:left w:type="dxa" w:w="120"/>
              <w:bottom w:type="dxa" w:w="100"/>
              <w:right w:type="dxa" w:w="120"/>
            </w:tcMar>
          </w:tcPr>
          <w:p>
            <w:pPr>
              <w:jc w:val="left"/>
            </w:pPr>
            <w:r>
              <w:rPr>
                <w:b w:val="false"/>
                <w:bCs w:val="false"/>
                <w:sz w:val="20"/>
                <w:szCs w:val="20"/>
              </w:rPr>
              <w:t xml:space="preserve">Finance</w:t>
            </w:r>
          </w:p>
        </w:tc>
      </w:tr>
    </w:tbl>
    <w:p>
      <w:pPr>
        <w:spacing w:before="200"/>
      </w:pPr>
    </w:p>
    <w:p>
      <w:pPr>
        <w:spacing w:after="160" w:line="276"/>
      </w:pPr>
      <w:r>
        <w:rPr>
          <w:sz w:val="22"/>
          <w:szCs w:val="22"/>
        </w:rPr>
        <w:t xml:space="preserve">Each major finding presented to the Product Department must be accompanied by at least one practical, implementable recommendation, consistent with Product's stated expectation.</w:t>
      </w:r>
    </w:p>
    <w:p>
      <w:pPr>
        <w:pStyle w:val="Heading1"/>
        <w:spacing w:after="200" w:before="400"/>
      </w:pPr>
      <w:r>
        <w:t xml:space="preserve">10. Key Performance Indicators by Department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Department</w:t>
            </w:r>
          </w:p>
        </w:tc>
        <w:tc>
          <w:tcPr>
            <w:tcW w:type="dxa" w:w="7100"/>
            <w:shd w:fill="1F3864" w:val="clear"/>
            <w:tcMar>
              <w:top w:type="dxa" w:w="100"/>
              <w:left w:type="dxa" w:w="120"/>
              <w:bottom w:type="dxa" w:w="100"/>
              <w:right w:type="dxa" w:w="120"/>
            </w:tcMar>
          </w:tcPr>
          <w:p>
            <w:r>
              <w:rPr>
                <w:b/>
                <w:bCs/>
                <w:color w:val="FFFFFF"/>
                <w:sz w:val="20"/>
                <w:szCs w:val="20"/>
              </w:rPr>
              <w:t xml:space="preserve">KPIs Monitored</w:t>
            </w:r>
          </w:p>
        </w:tc>
      </w:tr>
      <w:tr>
        <w:tc>
          <w:tcPr>
            <w:tcW w:type="dxa" w:w="2200"/>
            <w:tcMar>
              <w:top w:type="dxa" w:w="100"/>
              <w:left w:type="dxa" w:w="120"/>
              <w:bottom w:type="dxa" w:w="100"/>
              <w:right w:type="dxa" w:w="120"/>
            </w:tcMar>
          </w:tcPr>
          <w:p>
            <w:pPr>
              <w:jc w:val="left"/>
            </w:pPr>
            <w:r>
              <w:rPr>
                <w:b w:val="false"/>
                <w:bCs w:val="false"/>
                <w:sz w:val="20"/>
                <w:szCs w:val="20"/>
              </w:rPr>
              <w:t xml:space="preserve">Marketing</w:t>
            </w:r>
          </w:p>
        </w:tc>
        <w:tc>
          <w:tcPr>
            <w:tcW w:type="dxa" w:w="7100"/>
            <w:tcMar>
              <w:top w:type="dxa" w:w="100"/>
              <w:left w:type="dxa" w:w="120"/>
              <w:bottom w:type="dxa" w:w="100"/>
              <w:right w:type="dxa" w:w="120"/>
            </w:tcMar>
          </w:tcPr>
          <w:p>
            <w:pPr>
              <w:jc w:val="left"/>
            </w:pPr>
            <w:r>
              <w:rPr>
                <w:b w:val="false"/>
                <w:bCs w:val="false"/>
                <w:sz w:val="20"/>
                <w:szCs w:val="20"/>
              </w:rPr>
              <w:t xml:space="preserve">Customer Acquisition Cost (CAC), Customer Lifetime Value (CLTV), Customer Retention Rate, Churn Rate, Conversion Rate, Campaign ROI</w:t>
            </w:r>
          </w:p>
        </w:tc>
      </w:tr>
      <w:tr>
        <w:tc>
          <w:tcPr>
            <w:tcW w:type="dxa" w:w="2200"/>
            <w:shd w:fill="F2F2F2" w:val="clear"/>
            <w:tcMar>
              <w:top w:type="dxa" w:w="100"/>
              <w:left w:type="dxa" w:w="120"/>
              <w:bottom w:type="dxa" w:w="100"/>
              <w:right w:type="dxa" w:w="120"/>
            </w:tcMar>
          </w:tcPr>
          <w:p>
            <w:pPr>
              <w:jc w:val="left"/>
            </w:pPr>
            <w:r>
              <w:rPr>
                <w:b w:val="false"/>
                <w:bCs w:val="false"/>
                <w:sz w:val="20"/>
                <w:szCs w:val="20"/>
              </w:rPr>
              <w:t xml:space="preserve">Finance</w:t>
            </w:r>
          </w:p>
        </w:tc>
        <w:tc>
          <w:tcPr>
            <w:tcW w:type="dxa" w:w="7100"/>
            <w:shd w:fill="F2F2F2" w:val="clear"/>
            <w:tcMar>
              <w:top w:type="dxa" w:w="100"/>
              <w:left w:type="dxa" w:w="120"/>
              <w:bottom w:type="dxa" w:w="100"/>
              <w:right w:type="dxa" w:w="120"/>
            </w:tcMar>
          </w:tcPr>
          <w:p>
            <w:pPr>
              <w:jc w:val="left"/>
            </w:pPr>
            <w:r>
              <w:rPr>
                <w:b w:val="false"/>
                <w:bCs w:val="false"/>
                <w:sz w:val="20"/>
                <w:szCs w:val="20"/>
              </w:rPr>
              <w:t xml:space="preserve">Monthly Recurring Revenue (MRR), Annual Recurring Revenue (ARR), Customer Lifetime Value (CLTV), Average Revenue Per User (ARPU), Churn Rate, Revenue Retention, Subscription Revenue, Revenue Growth Rate</w:t>
            </w:r>
          </w:p>
        </w:tc>
      </w:tr>
      <w:tr>
        <w:tc>
          <w:tcPr>
            <w:tcW w:type="dxa" w:w="2200"/>
            <w:tcMar>
              <w:top w:type="dxa" w:w="100"/>
              <w:left w:type="dxa" w:w="120"/>
              <w:bottom w:type="dxa" w:w="100"/>
              <w:right w:type="dxa" w:w="120"/>
            </w:tcMar>
          </w:tcPr>
          <w:p>
            <w:pPr>
              <w:jc w:val="left"/>
            </w:pPr>
            <w:r>
              <w:rPr>
                <w:b w:val="false"/>
                <w:bCs w:val="false"/>
                <w:sz w:val="20"/>
                <w:szCs w:val="20"/>
              </w:rPr>
              <w:t xml:space="preserve">Product</w:t>
            </w:r>
          </w:p>
        </w:tc>
        <w:tc>
          <w:tcPr>
            <w:tcW w:type="dxa" w:w="7100"/>
            <w:tcMar>
              <w:top w:type="dxa" w:w="100"/>
              <w:left w:type="dxa" w:w="120"/>
              <w:bottom w:type="dxa" w:w="100"/>
              <w:right w:type="dxa" w:w="120"/>
            </w:tcMar>
          </w:tcPr>
          <w:p>
            <w:pPr>
              <w:jc w:val="left"/>
            </w:pPr>
            <w:r>
              <w:rPr>
                <w:b w:val="false"/>
                <w:bCs w:val="false"/>
                <w:sz w:val="20"/>
                <w:szCs w:val="20"/>
              </w:rPr>
              <w:t xml:space="preserve">Active Subscribers, Subscription Renewal Rate, Cancellation Rate, Plan Adoption Rate, Customer Retention Rate, Average Subscription Duration, Customer Satisfaction (CSAT)</w:t>
            </w:r>
          </w:p>
        </w:tc>
      </w:tr>
      <w:tr>
        <w:tc>
          <w:tcPr>
            <w:tcW w:type="dxa" w:w="2200"/>
            <w:shd w:fill="F2F2F2" w:val="clear"/>
            <w:tcMar>
              <w:top w:type="dxa" w:w="100"/>
              <w:left w:type="dxa" w:w="120"/>
              <w:bottom w:type="dxa" w:w="100"/>
              <w:right w:type="dxa" w:w="120"/>
            </w:tcMar>
          </w:tcPr>
          <w:p>
            <w:pPr>
              <w:jc w:val="left"/>
            </w:pPr>
            <w:r>
              <w:rPr>
                <w:b w:val="false"/>
                <w:bCs w:val="false"/>
                <w:sz w:val="20"/>
                <w:szCs w:val="20"/>
              </w:rPr>
              <w:t xml:space="preserve">Customer Support</w:t>
            </w:r>
          </w:p>
        </w:tc>
        <w:tc>
          <w:tcPr>
            <w:tcW w:type="dxa" w:w="7100"/>
            <w:shd w:fill="F2F2F2" w:val="clear"/>
            <w:tcMar>
              <w:top w:type="dxa" w:w="100"/>
              <w:left w:type="dxa" w:w="120"/>
              <w:bottom w:type="dxa" w:w="100"/>
              <w:right w:type="dxa" w:w="120"/>
            </w:tcMar>
          </w:tcPr>
          <w:p>
            <w:pPr>
              <w:jc w:val="left"/>
            </w:pPr>
            <w:r>
              <w:rPr>
                <w:b w:val="false"/>
                <w:bCs w:val="false"/>
                <w:sz w:val="20"/>
                <w:szCs w:val="20"/>
              </w:rPr>
              <w:t xml:space="preserve">Average CSAT Score, First Contact Resolution Rate, Escalation Rate, Complaint Volume, Average Resolution Time, Repeat Complaint Rate, Customer Retention After Support</w:t>
            </w:r>
          </w:p>
        </w:tc>
      </w:tr>
    </w:tbl>
    <w:p>
      <w:pPr>
        <w:pStyle w:val="Heading1"/>
        <w:spacing w:after="200" w:before="400"/>
      </w:pPr>
      <w:r>
        <w:t xml:space="preserve">11. Constraints and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Constraint</w:t>
            </w:r>
          </w:p>
        </w:tc>
        <w:tc>
          <w:tcPr>
            <w:tcW w:type="dxa" w:w="6300"/>
            <w:shd w:fill="1F3864"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pPr>
              <w:jc w:val="left"/>
            </w:pPr>
            <w:r>
              <w:rPr>
                <w:b w:val="false"/>
                <w:bCs w:val="false"/>
                <w:sz w:val="20"/>
                <w:szCs w:val="20"/>
              </w:rPr>
              <w:t xml:space="preserve">Product roadmap deadline</w:t>
            </w:r>
          </w:p>
        </w:tc>
        <w:tc>
          <w:tcPr>
            <w:tcW w:type="dxa" w:w="6300"/>
            <w:tcMar>
              <w:top w:type="dxa" w:w="100"/>
              <w:left w:type="dxa" w:w="120"/>
              <w:bottom w:type="dxa" w:w="100"/>
              <w:right w:type="dxa" w:w="120"/>
            </w:tcMar>
          </w:tcPr>
          <w:p>
            <w:pPr>
              <w:jc w:val="left"/>
            </w:pPr>
            <w:r>
              <w:rPr>
                <w:b w:val="false"/>
                <w:bCs w:val="false"/>
                <w:sz w:val="20"/>
                <w:szCs w:val="20"/>
              </w:rPr>
              <w:t xml:space="preserve">Findings must be available within approximately six weeks to influence FY2026 roadmap prioritization</w:t>
            </w:r>
          </w:p>
        </w:tc>
      </w:tr>
      <w:tr>
        <w:tc>
          <w:tcPr>
            <w:tcW w:type="dxa" w:w="3000"/>
            <w:shd w:fill="F2F2F2" w:val="clear"/>
            <w:tcMar>
              <w:top w:type="dxa" w:w="100"/>
              <w:left w:type="dxa" w:w="120"/>
              <w:bottom w:type="dxa" w:w="100"/>
              <w:right w:type="dxa" w:w="120"/>
            </w:tcMar>
          </w:tcPr>
          <w:p>
            <w:pPr>
              <w:jc w:val="left"/>
            </w:pPr>
            <w:r>
              <w:rPr>
                <w:b w:val="false"/>
                <w:bCs w:val="false"/>
                <w:sz w:val="20"/>
                <w:szCs w:val="20"/>
              </w:rPr>
              <w:t xml:space="preserve">Finance budgeting deadline</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Analysis must directly support the FY2026 annual budgeting process</w:t>
            </w:r>
          </w:p>
        </w:tc>
      </w:tr>
      <w:tr>
        <w:tc>
          <w:tcPr>
            <w:tcW w:type="dxa" w:w="3000"/>
            <w:tcMar>
              <w:top w:type="dxa" w:w="100"/>
              <w:left w:type="dxa" w:w="120"/>
              <w:bottom w:type="dxa" w:w="100"/>
              <w:right w:type="dxa" w:w="120"/>
            </w:tcMar>
          </w:tcPr>
          <w:p>
            <w:pPr>
              <w:jc w:val="left"/>
            </w:pPr>
            <w:r>
              <w:rPr>
                <w:b w:val="false"/>
                <w:bCs w:val="false"/>
                <w:sz w:val="20"/>
                <w:szCs w:val="20"/>
              </w:rPr>
              <w:t xml:space="preserve">Ongoing monitoring requirement</w:t>
            </w:r>
          </w:p>
        </w:tc>
        <w:tc>
          <w:tcPr>
            <w:tcW w:type="dxa" w:w="6300"/>
            <w:tcMar>
              <w:top w:type="dxa" w:w="100"/>
              <w:left w:type="dxa" w:w="120"/>
              <w:bottom w:type="dxa" w:w="100"/>
              <w:right w:type="dxa" w:w="120"/>
            </w:tcMar>
          </w:tcPr>
          <w:p>
            <w:pPr>
              <w:jc w:val="left"/>
            </w:pPr>
            <w:r>
              <w:rPr>
                <w:b w:val="false"/>
                <w:bCs w:val="false"/>
                <w:sz w:val="20"/>
                <w:szCs w:val="20"/>
              </w:rPr>
              <w:t xml:space="preserve">Finance requires a dashboard refreshed monthly following the initial analysis</w:t>
            </w:r>
          </w:p>
        </w:tc>
      </w:tr>
      <w:tr>
        <w:tc>
          <w:tcPr>
            <w:tcW w:type="dxa" w:w="3000"/>
            <w:shd w:fill="F2F2F2" w:val="clear"/>
            <w:tcMar>
              <w:top w:type="dxa" w:w="100"/>
              <w:left w:type="dxa" w:w="120"/>
              <w:bottom w:type="dxa" w:w="100"/>
              <w:right w:type="dxa" w:w="120"/>
            </w:tcMar>
          </w:tcPr>
          <w:p>
            <w:pPr>
              <w:jc w:val="left"/>
            </w:pPr>
            <w:r>
              <w:rPr>
                <w:b w:val="false"/>
                <w:bCs w:val="false"/>
                <w:sz w:val="20"/>
                <w:szCs w:val="20"/>
              </w:rPr>
              <w:t xml:space="preserve">Acquisition cost data gap</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Campaign-level CAC cannot be precisely calculated; this limitation must be documented wherever revenue impact is presented</w:t>
            </w:r>
          </w:p>
        </w:tc>
      </w:tr>
      <w:tr>
        <w:tc>
          <w:tcPr>
            <w:tcW w:type="dxa" w:w="3000"/>
            <w:tcMar>
              <w:top w:type="dxa" w:w="100"/>
              <w:left w:type="dxa" w:w="120"/>
              <w:bottom w:type="dxa" w:w="100"/>
              <w:right w:type="dxa" w:w="120"/>
            </w:tcMar>
          </w:tcPr>
          <w:p>
            <w:pPr>
              <w:jc w:val="left"/>
            </w:pPr>
            <w:r>
              <w:rPr>
                <w:b w:val="false"/>
                <w:bCs w:val="false"/>
                <w:sz w:val="20"/>
                <w:szCs w:val="20"/>
              </w:rPr>
              <w:t xml:space="preserve">Servicing cost data gap</w:t>
            </w:r>
          </w:p>
        </w:tc>
        <w:tc>
          <w:tcPr>
            <w:tcW w:type="dxa" w:w="6300"/>
            <w:tcMar>
              <w:top w:type="dxa" w:w="100"/>
              <w:left w:type="dxa" w:w="120"/>
              <w:bottom w:type="dxa" w:w="100"/>
              <w:right w:type="dxa" w:w="120"/>
            </w:tcMar>
          </w:tcPr>
          <w:p>
            <w:pPr>
              <w:jc w:val="left"/>
            </w:pPr>
            <w:r>
              <w:rPr>
                <w:b w:val="false"/>
                <w:bCs w:val="false"/>
                <w:sz w:val="20"/>
                <w:szCs w:val="20"/>
              </w:rPr>
              <w:t xml:space="preserve">Profitability figures are an approximation (CLTV, Monthly Charges, Retention) and do not net out servicing cost; this limitation must be documented</w:t>
            </w:r>
          </w:p>
        </w:tc>
      </w:tr>
      <w:tr>
        <w:tc>
          <w:tcPr>
            <w:tcW w:type="dxa" w:w="3000"/>
            <w:shd w:fill="F2F2F2" w:val="clear"/>
            <w:tcMar>
              <w:top w:type="dxa" w:w="100"/>
              <w:left w:type="dxa" w:w="120"/>
              <w:bottom w:type="dxa" w:w="100"/>
              <w:right w:type="dxa" w:w="120"/>
            </w:tcMar>
          </w:tcPr>
          <w:p>
            <w:pPr>
              <w:jc w:val="left"/>
            </w:pPr>
            <w:r>
              <w:rPr>
                <w:b w:val="false"/>
                <w:bCs w:val="false"/>
                <w:sz w:val="20"/>
                <w:szCs w:val="20"/>
              </w:rPr>
              <w:t xml:space="preserve">Support metric gap</w:t>
            </w:r>
          </w:p>
        </w:tc>
        <w:tc>
          <w:tcPr>
            <w:tcW w:type="dxa" w:w="6300"/>
            <w:shd w:fill="F2F2F2" w:val="clear"/>
            <w:tcMar>
              <w:top w:type="dxa" w:w="100"/>
              <w:left w:type="dxa" w:w="120"/>
              <w:bottom w:type="dxa" w:w="100"/>
              <w:right w:type="dxa" w:w="120"/>
            </w:tcMar>
          </w:tcPr>
          <w:p>
            <w:pPr>
              <w:jc w:val="left"/>
            </w:pPr>
            <w:r>
              <w:rPr>
                <w:b w:val="false"/>
                <w:bCs w:val="false"/>
                <w:sz w:val="20"/>
                <w:szCs w:val="20"/>
              </w:rPr>
              <w:t xml:space="preserve">First Contact Resolution Rate and Average Resolution Time are unavailable in the analysis dataset despite being tracked internally by Support</w:t>
            </w:r>
          </w:p>
        </w:tc>
      </w:tr>
    </w:tbl>
    <w:p>
      <w:pPr>
        <w:pStyle w:val="Heading1"/>
        <w:spacing w:after="200" w:before="400"/>
      </w:pPr>
      <w:r>
        <w:t xml:space="preserve">12. Success Criteria</w:t>
      </w:r>
    </w:p>
    <w:p>
      <w:pPr>
        <w:spacing w:after="160" w:line="276"/>
      </w:pPr>
      <w:r>
        <w:rPr>
          <w:sz w:val="22"/>
          <w:szCs w:val="22"/>
        </w:rPr>
        <w:t xml:space="preserve">The initiative will be considered successful if it delivers the following outcomes:</w:t>
      </w:r>
    </w:p>
    <w:p>
      <w:pPr>
        <w:pStyle w:val="ListParagraph"/>
        <w:numPr>
          <w:ilvl w:val="0"/>
          <w:numId w:val="3"/>
        </w:numPr>
        <w:spacing w:after="80" w:line="276"/>
      </w:pPr>
      <w:r>
        <w:rPr>
          <w:sz w:val="22"/>
          <w:szCs w:val="22"/>
        </w:rPr>
        <w:t xml:space="preserve">Each of the six CEO-level questions is answered with data-backed findings.</w:t>
      </w:r>
    </w:p>
    <w:p>
      <w:pPr>
        <w:pStyle w:val="ListParagraph"/>
        <w:numPr>
          <w:ilvl w:val="0"/>
          <w:numId w:val="3"/>
        </w:numPr>
        <w:spacing w:after="80" w:line="276"/>
      </w:pPr>
      <w:r>
        <w:rPr>
          <w:sz w:val="22"/>
          <w:szCs w:val="22"/>
        </w:rPr>
        <w:t xml:space="preserve">Each department-specific assumption listed in Section 7 is explicitly validated or rejected with supporting evidence.</w:t>
      </w:r>
    </w:p>
    <w:p>
      <w:pPr>
        <w:pStyle w:val="ListParagraph"/>
        <w:numPr>
          <w:ilvl w:val="0"/>
          <w:numId w:val="3"/>
        </w:numPr>
        <w:spacing w:after="80" w:line="276"/>
      </w:pPr>
      <w:r>
        <w:rPr>
          <w:sz w:val="22"/>
          <w:szCs w:val="22"/>
        </w:rPr>
        <w:t xml:space="preserve">Marketing receives a clear, evidence-based basis for reallocating budget across acquisition channels.</w:t>
      </w:r>
    </w:p>
    <w:p>
      <w:pPr>
        <w:pStyle w:val="ListParagraph"/>
        <w:numPr>
          <w:ilvl w:val="0"/>
          <w:numId w:val="3"/>
        </w:numPr>
        <w:spacing w:after="80" w:line="276"/>
      </w:pPr>
      <w:r>
        <w:rPr>
          <w:sz w:val="22"/>
          <w:szCs w:val="22"/>
        </w:rPr>
        <w:t xml:space="preserve">Finance receives a quantified estimate of revenue lost to churn and a list of active, high-value, at-risk customers for proactive retention.</w:t>
      </w:r>
    </w:p>
    <w:p>
      <w:pPr>
        <w:pStyle w:val="ListParagraph"/>
        <w:numPr>
          <w:ilvl w:val="0"/>
          <w:numId w:val="3"/>
        </w:numPr>
        <w:spacing w:after="80" w:line="276"/>
      </w:pPr>
      <w:r>
        <w:rPr>
          <w:sz w:val="22"/>
          <w:szCs w:val="22"/>
        </w:rPr>
        <w:t xml:space="preserve">Product receives validated churn drivers and at least one actionable recommendation per major finding, delivered before the FY2026 roadmap finalization deadline.</w:t>
      </w:r>
    </w:p>
    <w:p>
      <w:pPr>
        <w:pStyle w:val="ListParagraph"/>
        <w:numPr>
          <w:ilvl w:val="0"/>
          <w:numId w:val="3"/>
        </w:numPr>
        <w:spacing w:after="80" w:line="276"/>
      </w:pPr>
      <w:r>
        <w:rPr>
          <w:sz w:val="22"/>
          <w:szCs w:val="22"/>
        </w:rPr>
        <w:t xml:space="preserve">Customer Support receives an evidence-based complaint prioritization framework linked to churn and business impact.</w:t>
      </w:r>
    </w:p>
    <w:p>
      <w:pPr>
        <w:pStyle w:val="ListParagraph"/>
        <w:numPr>
          <w:ilvl w:val="0"/>
          <w:numId w:val="3"/>
        </w:numPr>
        <w:spacing w:after="80" w:line="276"/>
      </w:pPr>
      <w:r>
        <w:rPr>
          <w:sz w:val="22"/>
          <w:szCs w:val="22"/>
        </w:rPr>
        <w:t xml:space="preserve">All known data limitations are transparently documented alongside any finding they affect.</w:t>
      </w:r>
    </w:p>
    <w:p>
      <w:pPr>
        <w:spacing w:before="400"/>
      </w:pPr>
    </w:p>
    <w:p>
      <w:pPr>
        <w:pBdr>
          <w:bottom w:val="single" w:color="BFBFBF" w:sz="6" w:space="1"/>
        </w:pBdr>
        <w:spacing w:after="200"/>
      </w:pPr>
    </w:p>
    <w:p>
      <w:pPr>
        <w:spacing w:after="160" w:line="276"/>
      </w:pPr>
      <w:r>
        <w:rPr>
          <w:i/>
          <w:iCs/>
          <w:color w:val="595959"/>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Customer Churn Analytics Initiative — FY2025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2026-07-13T07:31:40.581Z</dcterms:created>
  <dcterms:modified xsi:type="dcterms:W3CDTF">2026-07-13T07:31:40.594Z</dcterms:modified>
</cp:coreProperties>
</file>

<file path=docProps/custom.xml><?xml version="1.0" encoding="utf-8"?>
<Properties xmlns="http://schemas.openxmlformats.org/officeDocument/2006/custom-properties" xmlns:vt="http://schemas.openxmlformats.org/officeDocument/2006/docPropsVTypes"/>
</file>