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C0ECD" w14:textId="77777777" w:rsidR="00A31F3E" w:rsidRPr="006E61D8" w:rsidRDefault="00A31F3E" w:rsidP="00A31F3E">
      <w:pPr>
        <w:rPr>
          <w:rFonts w:ascii="Times New Roman" w:hAnsi="Times New Roman" w:cs="Times New Roman"/>
          <w:sz w:val="24"/>
          <w:szCs w:val="24"/>
        </w:rPr>
      </w:pPr>
    </w:p>
    <w:p w14:paraId="2B336170" w14:textId="167A9E65" w:rsidR="00FE6626" w:rsidRPr="00FE6626" w:rsidRDefault="00BB44C7" w:rsidP="00FE6626">
      <w:pPr>
        <w:jc w:val="center"/>
        <w:rPr>
          <w:rFonts w:ascii="Times New Roman" w:hAnsi="Times New Roman" w:cs="Times New Roman"/>
          <w:b/>
          <w:bCs/>
          <w:sz w:val="24"/>
          <w:szCs w:val="24"/>
        </w:rPr>
      </w:pPr>
      <w:r>
        <w:rPr>
          <w:rFonts w:ascii="Times New Roman" w:hAnsi="Times New Roman" w:cs="Times New Roman"/>
          <w:b/>
          <w:bCs/>
          <w:sz w:val="24"/>
          <w:szCs w:val="24"/>
        </w:rPr>
        <w:t xml:space="preserve">Using </w:t>
      </w:r>
      <w:r w:rsidR="0069446E">
        <w:rPr>
          <w:rFonts w:ascii="Times New Roman" w:hAnsi="Times New Roman" w:cs="Times New Roman"/>
          <w:b/>
          <w:bCs/>
          <w:sz w:val="24"/>
          <w:szCs w:val="24"/>
        </w:rPr>
        <w:t>machine learning</w:t>
      </w:r>
      <w:r>
        <w:rPr>
          <w:rFonts w:ascii="Times New Roman" w:hAnsi="Times New Roman" w:cs="Times New Roman"/>
          <w:b/>
          <w:bCs/>
          <w:sz w:val="24"/>
          <w:szCs w:val="24"/>
        </w:rPr>
        <w:t xml:space="preserve"> to predict clean energy stock prices</w:t>
      </w:r>
      <w:r w:rsidR="0069446E">
        <w:rPr>
          <w:rFonts w:ascii="Times New Roman" w:hAnsi="Times New Roman" w:cs="Times New Roman"/>
          <w:b/>
          <w:bCs/>
          <w:sz w:val="24"/>
          <w:szCs w:val="24"/>
        </w:rPr>
        <w:t xml:space="preserve">: </w:t>
      </w:r>
      <w:r w:rsidR="00E97329">
        <w:rPr>
          <w:rFonts w:ascii="Times New Roman" w:hAnsi="Times New Roman" w:cs="Times New Roman"/>
          <w:b/>
          <w:bCs/>
          <w:sz w:val="24"/>
          <w:szCs w:val="24"/>
        </w:rPr>
        <w:t>How</w:t>
      </w:r>
      <w:r w:rsidR="0069446E">
        <w:rPr>
          <w:rFonts w:ascii="Times New Roman" w:hAnsi="Times New Roman" w:cs="Times New Roman"/>
          <w:b/>
          <w:bCs/>
          <w:sz w:val="24"/>
          <w:szCs w:val="24"/>
        </w:rPr>
        <w:t xml:space="preserve"> importan</w:t>
      </w:r>
      <w:r w:rsidR="00E97329">
        <w:rPr>
          <w:rFonts w:ascii="Times New Roman" w:hAnsi="Times New Roman" w:cs="Times New Roman"/>
          <w:b/>
          <w:bCs/>
          <w:sz w:val="24"/>
          <w:szCs w:val="24"/>
        </w:rPr>
        <w:t>t</w:t>
      </w:r>
      <w:r w:rsidR="0069446E">
        <w:rPr>
          <w:rFonts w:ascii="Times New Roman" w:hAnsi="Times New Roman" w:cs="Times New Roman"/>
          <w:b/>
          <w:bCs/>
          <w:sz w:val="24"/>
          <w:szCs w:val="24"/>
        </w:rPr>
        <w:t xml:space="preserve"> </w:t>
      </w:r>
      <w:r w:rsidR="00E97329">
        <w:rPr>
          <w:rFonts w:ascii="Times New Roman" w:hAnsi="Times New Roman" w:cs="Times New Roman"/>
          <w:b/>
          <w:bCs/>
          <w:sz w:val="24"/>
          <w:szCs w:val="24"/>
        </w:rPr>
        <w:t>are</w:t>
      </w:r>
      <w:r w:rsidR="0069446E">
        <w:rPr>
          <w:rFonts w:ascii="Times New Roman" w:hAnsi="Times New Roman" w:cs="Times New Roman"/>
          <w:b/>
          <w:bCs/>
          <w:sz w:val="24"/>
          <w:szCs w:val="24"/>
        </w:rPr>
        <w:t xml:space="preserve"> volatility and uncertainty</w:t>
      </w:r>
      <w:r w:rsidR="00E97329">
        <w:rPr>
          <w:rFonts w:ascii="Times New Roman" w:hAnsi="Times New Roman" w:cs="Times New Roman"/>
          <w:b/>
          <w:bCs/>
          <w:sz w:val="24"/>
          <w:szCs w:val="24"/>
        </w:rPr>
        <w:t>?</w:t>
      </w:r>
    </w:p>
    <w:p w14:paraId="632746B4" w14:textId="7CF66BE9" w:rsidR="00200037" w:rsidRDefault="00200037" w:rsidP="00A31F3E">
      <w:pPr>
        <w:jc w:val="center"/>
        <w:rPr>
          <w:rFonts w:ascii="Times New Roman" w:hAnsi="Times New Roman" w:cs="Times New Roman"/>
          <w:sz w:val="24"/>
          <w:szCs w:val="24"/>
        </w:rPr>
      </w:pPr>
    </w:p>
    <w:p w14:paraId="5ACD4A2C" w14:textId="77777777" w:rsidR="00EE7ECD" w:rsidRDefault="00EE7ECD" w:rsidP="00EE7EC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Perry Sadorsky</w:t>
      </w:r>
    </w:p>
    <w:p w14:paraId="10A3528E" w14:textId="77777777" w:rsidR="00EE7ECD" w:rsidRDefault="00EE7ECD" w:rsidP="00EE7EC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Schulich School of Business</w:t>
      </w:r>
    </w:p>
    <w:p w14:paraId="64A2B985" w14:textId="77777777" w:rsidR="00EE7ECD" w:rsidRDefault="00EE7ECD" w:rsidP="00EE7EC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York University</w:t>
      </w:r>
    </w:p>
    <w:p w14:paraId="51B41C66" w14:textId="77777777" w:rsidR="00EE7ECD" w:rsidRDefault="00EE7ECD" w:rsidP="00EE7EC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4700 </w:t>
      </w:r>
      <w:proofErr w:type="spellStart"/>
      <w:r>
        <w:rPr>
          <w:rFonts w:ascii="Times New Roman" w:hAnsi="Times New Roman" w:cs="Times New Roman"/>
          <w:sz w:val="24"/>
          <w:szCs w:val="24"/>
        </w:rPr>
        <w:t>Keele</w:t>
      </w:r>
      <w:proofErr w:type="spellEnd"/>
      <w:r>
        <w:rPr>
          <w:rFonts w:ascii="Times New Roman" w:hAnsi="Times New Roman" w:cs="Times New Roman"/>
          <w:sz w:val="24"/>
          <w:szCs w:val="24"/>
        </w:rPr>
        <w:t xml:space="preserve"> Street</w:t>
      </w:r>
    </w:p>
    <w:p w14:paraId="05B26347" w14:textId="77777777" w:rsidR="00EE7ECD" w:rsidRDefault="00EE7ECD" w:rsidP="00EE7EC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Toronto, Ontario, Canada M3J 1P3</w:t>
      </w:r>
    </w:p>
    <w:p w14:paraId="40628354" w14:textId="182A4A85" w:rsidR="00106632" w:rsidRDefault="005D4FA0" w:rsidP="00EE7ECD">
      <w:pPr>
        <w:spacing w:after="0" w:line="240" w:lineRule="auto"/>
        <w:jc w:val="center"/>
        <w:rPr>
          <w:rStyle w:val="Hyperlink"/>
          <w:rFonts w:ascii="Times New Roman" w:hAnsi="Times New Roman" w:cs="Times New Roman"/>
          <w:sz w:val="24"/>
          <w:szCs w:val="24"/>
        </w:rPr>
      </w:pPr>
      <w:hyperlink r:id="rId8" w:history="1">
        <w:r w:rsidR="00EE7ECD" w:rsidRPr="005E5054">
          <w:rPr>
            <w:rStyle w:val="Hyperlink"/>
            <w:rFonts w:ascii="Times New Roman" w:hAnsi="Times New Roman" w:cs="Times New Roman"/>
            <w:sz w:val="24"/>
            <w:szCs w:val="24"/>
          </w:rPr>
          <w:t>psadorsky@schulich.yorku.ca</w:t>
        </w:r>
      </w:hyperlink>
    </w:p>
    <w:p w14:paraId="29798EE2" w14:textId="77777777" w:rsidR="00EE7ECD" w:rsidRDefault="00EE7ECD" w:rsidP="00EE7ECD">
      <w:pPr>
        <w:spacing w:after="0" w:line="240" w:lineRule="auto"/>
        <w:jc w:val="center"/>
        <w:rPr>
          <w:rFonts w:ascii="Times New Roman" w:hAnsi="Times New Roman" w:cs="Times New Roman"/>
          <w:sz w:val="24"/>
          <w:szCs w:val="24"/>
        </w:rPr>
      </w:pPr>
    </w:p>
    <w:p w14:paraId="1EFDB1F3" w14:textId="0A7D22AF" w:rsidR="00A31F3E" w:rsidRDefault="004E588A" w:rsidP="00A31F3E">
      <w:pPr>
        <w:jc w:val="center"/>
        <w:rPr>
          <w:rFonts w:ascii="Times New Roman" w:hAnsi="Times New Roman" w:cs="Times New Roman"/>
          <w:sz w:val="24"/>
          <w:szCs w:val="24"/>
        </w:rPr>
      </w:pPr>
      <w:r>
        <w:rPr>
          <w:rFonts w:ascii="Times New Roman" w:hAnsi="Times New Roman" w:cs="Times New Roman"/>
          <w:sz w:val="24"/>
          <w:szCs w:val="24"/>
        </w:rPr>
        <w:t>Octo</w:t>
      </w:r>
      <w:r w:rsidR="00527282">
        <w:rPr>
          <w:rFonts w:ascii="Times New Roman" w:hAnsi="Times New Roman" w:cs="Times New Roman"/>
          <w:sz w:val="24"/>
          <w:szCs w:val="24"/>
        </w:rPr>
        <w:t>ber</w:t>
      </w:r>
      <w:r w:rsidR="00B905F4">
        <w:rPr>
          <w:rFonts w:ascii="Times New Roman" w:hAnsi="Times New Roman" w:cs="Times New Roman"/>
          <w:sz w:val="24"/>
          <w:szCs w:val="24"/>
        </w:rPr>
        <w:t xml:space="preserve"> 2022</w:t>
      </w:r>
    </w:p>
    <w:p w14:paraId="05A075EC" w14:textId="77777777" w:rsidR="00A31F3E" w:rsidRPr="006E61D8" w:rsidRDefault="00A31F3E" w:rsidP="00A31F3E">
      <w:pPr>
        <w:jc w:val="center"/>
        <w:rPr>
          <w:rFonts w:ascii="Times New Roman" w:hAnsi="Times New Roman" w:cs="Times New Roman"/>
          <w:sz w:val="24"/>
          <w:szCs w:val="24"/>
        </w:rPr>
      </w:pPr>
    </w:p>
    <w:p w14:paraId="77D88C83" w14:textId="77777777" w:rsidR="00A31F3E" w:rsidRPr="004D38E4" w:rsidRDefault="00A31F3E" w:rsidP="00A31F3E">
      <w:pPr>
        <w:jc w:val="center"/>
        <w:rPr>
          <w:rFonts w:ascii="Times New Roman" w:hAnsi="Times New Roman" w:cs="Times New Roman"/>
          <w:b/>
          <w:sz w:val="24"/>
          <w:szCs w:val="24"/>
        </w:rPr>
      </w:pPr>
      <w:r w:rsidRPr="006E61D8">
        <w:rPr>
          <w:rFonts w:ascii="Times New Roman" w:hAnsi="Times New Roman" w:cs="Times New Roman"/>
          <w:b/>
          <w:sz w:val="24"/>
          <w:szCs w:val="24"/>
        </w:rPr>
        <w:t>Abstract</w:t>
      </w:r>
    </w:p>
    <w:p w14:paraId="6E87DB8F" w14:textId="56336D73" w:rsidR="00463FF3" w:rsidRPr="000009C3" w:rsidRDefault="003E1777" w:rsidP="00463FF3">
      <w:pPr>
        <w:spacing w:line="240" w:lineRule="auto"/>
        <w:rPr>
          <w:rFonts w:ascii="Times New Roman" w:hAnsi="Times New Roman" w:cs="Times New Roman"/>
          <w:sz w:val="24"/>
          <w:szCs w:val="24"/>
        </w:rPr>
      </w:pPr>
      <w:bookmarkStart w:id="0" w:name="_Hlk64461533"/>
      <w:r>
        <w:rPr>
          <w:rFonts w:ascii="Times New Roman" w:hAnsi="Times New Roman" w:cs="Times New Roman"/>
          <w:sz w:val="24"/>
          <w:szCs w:val="24"/>
        </w:rPr>
        <w:t xml:space="preserve">Addressing </w:t>
      </w:r>
      <w:r w:rsidRPr="00FE6626">
        <w:rPr>
          <w:rFonts w:ascii="Times New Roman" w:hAnsi="Times New Roman" w:cs="Times New Roman"/>
          <w:sz w:val="24"/>
          <w:szCs w:val="24"/>
        </w:rPr>
        <w:t>climate change</w:t>
      </w:r>
      <w:r>
        <w:rPr>
          <w:rFonts w:ascii="Times New Roman" w:hAnsi="Times New Roman" w:cs="Times New Roman"/>
          <w:sz w:val="24"/>
          <w:szCs w:val="24"/>
        </w:rPr>
        <w:t xml:space="preserve"> and transitioning to a low carbon economy requires investment in clean energy. I</w:t>
      </w:r>
      <w:r w:rsidRPr="00FE6626">
        <w:rPr>
          <w:rFonts w:ascii="Times New Roman" w:hAnsi="Times New Roman" w:cs="Times New Roman"/>
          <w:sz w:val="24"/>
          <w:szCs w:val="24"/>
        </w:rPr>
        <w:t>ncrease</w:t>
      </w:r>
      <w:r>
        <w:rPr>
          <w:rFonts w:ascii="Times New Roman" w:hAnsi="Times New Roman" w:cs="Times New Roman"/>
          <w:sz w:val="24"/>
          <w:szCs w:val="24"/>
        </w:rPr>
        <w:t>s</w:t>
      </w:r>
      <w:r w:rsidRPr="00FE6626">
        <w:rPr>
          <w:rFonts w:ascii="Times New Roman" w:hAnsi="Times New Roman" w:cs="Times New Roman"/>
          <w:sz w:val="24"/>
          <w:szCs w:val="24"/>
        </w:rPr>
        <w:t xml:space="preserve"> in </w:t>
      </w:r>
      <w:r>
        <w:rPr>
          <w:rFonts w:ascii="Times New Roman" w:hAnsi="Times New Roman" w:cs="Times New Roman"/>
          <w:sz w:val="24"/>
          <w:szCs w:val="24"/>
        </w:rPr>
        <w:t>clean</w:t>
      </w:r>
      <w:r w:rsidRPr="00FE6626">
        <w:rPr>
          <w:rFonts w:ascii="Times New Roman" w:hAnsi="Times New Roman" w:cs="Times New Roman"/>
          <w:sz w:val="24"/>
          <w:szCs w:val="24"/>
        </w:rPr>
        <w:t xml:space="preserve"> energy </w:t>
      </w:r>
      <w:r>
        <w:rPr>
          <w:rFonts w:ascii="Times New Roman" w:hAnsi="Times New Roman" w:cs="Times New Roman"/>
          <w:sz w:val="24"/>
          <w:szCs w:val="24"/>
        </w:rPr>
        <w:t>usage are</w:t>
      </w:r>
      <w:r w:rsidRPr="00FE6626">
        <w:rPr>
          <w:rFonts w:ascii="Times New Roman" w:hAnsi="Times New Roman" w:cs="Times New Roman"/>
          <w:sz w:val="24"/>
          <w:szCs w:val="24"/>
        </w:rPr>
        <w:t xml:space="preserve"> </w:t>
      </w:r>
      <w:r>
        <w:rPr>
          <w:rFonts w:ascii="Times New Roman" w:hAnsi="Times New Roman" w:cs="Times New Roman"/>
          <w:sz w:val="24"/>
          <w:szCs w:val="24"/>
        </w:rPr>
        <w:t xml:space="preserve">creating new opportunities for clean energy equity investing. </w:t>
      </w:r>
      <w:r w:rsidRPr="002260BC">
        <w:rPr>
          <w:rFonts w:ascii="Times New Roman" w:hAnsi="Times New Roman" w:cs="Times New Roman"/>
          <w:sz w:val="24"/>
          <w:szCs w:val="24"/>
        </w:rPr>
        <w:t>The</w:t>
      </w:r>
      <w:r>
        <w:rPr>
          <w:rFonts w:ascii="Times New Roman" w:hAnsi="Times New Roman" w:cs="Times New Roman"/>
          <w:sz w:val="24"/>
          <w:szCs w:val="24"/>
        </w:rPr>
        <w:t xml:space="preserve"> existing </w:t>
      </w:r>
      <w:r w:rsidRPr="002260BC">
        <w:rPr>
          <w:rFonts w:ascii="Times New Roman" w:hAnsi="Times New Roman" w:cs="Times New Roman"/>
          <w:sz w:val="24"/>
          <w:szCs w:val="24"/>
        </w:rPr>
        <w:t xml:space="preserve">literature </w:t>
      </w:r>
      <w:r>
        <w:rPr>
          <w:rFonts w:ascii="Times New Roman" w:hAnsi="Times New Roman" w:cs="Times New Roman"/>
          <w:sz w:val="24"/>
          <w:szCs w:val="24"/>
        </w:rPr>
        <w:t xml:space="preserve">mostly focuses on the </w:t>
      </w:r>
      <w:r w:rsidRPr="002260BC">
        <w:rPr>
          <w:rFonts w:ascii="Times New Roman" w:hAnsi="Times New Roman" w:cs="Times New Roman"/>
          <w:sz w:val="24"/>
          <w:szCs w:val="24"/>
        </w:rPr>
        <w:t>dynamic</w:t>
      </w:r>
      <w:r>
        <w:rPr>
          <w:rFonts w:ascii="Times New Roman" w:hAnsi="Times New Roman" w:cs="Times New Roman"/>
          <w:sz w:val="24"/>
          <w:szCs w:val="24"/>
        </w:rPr>
        <w:t xml:space="preserve"> relationship between </w:t>
      </w:r>
      <w:r w:rsidRPr="002260BC">
        <w:rPr>
          <w:rFonts w:ascii="Times New Roman" w:hAnsi="Times New Roman" w:cs="Times New Roman"/>
          <w:sz w:val="24"/>
          <w:szCs w:val="24"/>
        </w:rPr>
        <w:t>clean energy equit</w:t>
      </w:r>
      <w:r>
        <w:rPr>
          <w:rFonts w:ascii="Times New Roman" w:hAnsi="Times New Roman" w:cs="Times New Roman"/>
          <w:sz w:val="24"/>
          <w:szCs w:val="24"/>
        </w:rPr>
        <w:t xml:space="preserve">ies, </w:t>
      </w:r>
      <w:r w:rsidRPr="002260BC">
        <w:rPr>
          <w:rFonts w:ascii="Times New Roman" w:hAnsi="Times New Roman" w:cs="Times New Roman"/>
          <w:sz w:val="24"/>
          <w:szCs w:val="24"/>
        </w:rPr>
        <w:t>oil prices</w:t>
      </w:r>
      <w:r>
        <w:rPr>
          <w:rFonts w:ascii="Times New Roman" w:hAnsi="Times New Roman" w:cs="Times New Roman"/>
          <w:sz w:val="24"/>
          <w:szCs w:val="24"/>
        </w:rPr>
        <w:t>, technology stock prices,</w:t>
      </w:r>
      <w:r w:rsidRPr="002260BC">
        <w:rPr>
          <w:rFonts w:ascii="Times New Roman" w:hAnsi="Times New Roman" w:cs="Times New Roman"/>
          <w:sz w:val="24"/>
          <w:szCs w:val="24"/>
        </w:rPr>
        <w:t xml:space="preserve"> </w:t>
      </w:r>
      <w:r>
        <w:rPr>
          <w:rFonts w:ascii="Times New Roman" w:hAnsi="Times New Roman" w:cs="Times New Roman"/>
          <w:sz w:val="24"/>
          <w:szCs w:val="24"/>
        </w:rPr>
        <w:t xml:space="preserve">and other important macroeconomic variables like market volatility and economic policy uncertainty. </w:t>
      </w:r>
      <w:r w:rsidR="000D3A30">
        <w:rPr>
          <w:rFonts w:ascii="Times New Roman" w:hAnsi="Times New Roman" w:cs="Times New Roman"/>
          <w:sz w:val="24"/>
          <w:szCs w:val="24"/>
        </w:rPr>
        <w:t>H</w:t>
      </w:r>
      <w:r w:rsidRPr="00FE6626">
        <w:rPr>
          <w:rFonts w:ascii="Times New Roman" w:hAnsi="Times New Roman" w:cs="Times New Roman"/>
          <w:sz w:val="24"/>
          <w:szCs w:val="24"/>
        </w:rPr>
        <w:t xml:space="preserve">owever, </w:t>
      </w:r>
      <w:r w:rsidR="000D3A30">
        <w:rPr>
          <w:rFonts w:ascii="Times New Roman" w:hAnsi="Times New Roman" w:cs="Times New Roman"/>
          <w:sz w:val="24"/>
          <w:szCs w:val="24"/>
        </w:rPr>
        <w:t xml:space="preserve">there is </w:t>
      </w:r>
      <w:r w:rsidRPr="00FE6626">
        <w:rPr>
          <w:rFonts w:ascii="Times New Roman" w:hAnsi="Times New Roman" w:cs="Times New Roman"/>
          <w:sz w:val="24"/>
          <w:szCs w:val="24"/>
        </w:rPr>
        <w:t xml:space="preserve">a shortage of literature on forecasting </w:t>
      </w:r>
      <w:r>
        <w:rPr>
          <w:rFonts w:ascii="Times New Roman" w:hAnsi="Times New Roman" w:cs="Times New Roman"/>
          <w:sz w:val="24"/>
          <w:szCs w:val="24"/>
        </w:rPr>
        <w:t>clean energy stock</w:t>
      </w:r>
      <w:r w:rsidRPr="00FE6626">
        <w:rPr>
          <w:rFonts w:ascii="Times New Roman" w:hAnsi="Times New Roman" w:cs="Times New Roman"/>
          <w:sz w:val="24"/>
          <w:szCs w:val="24"/>
        </w:rPr>
        <w:t xml:space="preserve"> prices. </w:t>
      </w:r>
      <w:r>
        <w:rPr>
          <w:rFonts w:ascii="Times New Roman" w:hAnsi="Times New Roman" w:cs="Times New Roman"/>
          <w:sz w:val="24"/>
          <w:szCs w:val="24"/>
        </w:rPr>
        <w:t xml:space="preserve">Forecasting clean energy equity prices is important for </w:t>
      </w:r>
      <w:r w:rsidR="001042BA">
        <w:rPr>
          <w:rFonts w:ascii="Times New Roman" w:hAnsi="Times New Roman" w:cs="Times New Roman"/>
          <w:sz w:val="24"/>
          <w:szCs w:val="24"/>
        </w:rPr>
        <w:t xml:space="preserve">making </w:t>
      </w:r>
      <w:r>
        <w:rPr>
          <w:rFonts w:ascii="Times New Roman" w:hAnsi="Times New Roman" w:cs="Times New Roman"/>
          <w:sz w:val="24"/>
          <w:szCs w:val="24"/>
        </w:rPr>
        <w:t xml:space="preserve">investment decisions. This paper uses machine learning methods to predict clean energy stock price direction. The analysis reveals that random forests, extremely randomized trees, </w:t>
      </w:r>
      <w:r w:rsidR="00507F77">
        <w:rPr>
          <w:rFonts w:ascii="Times New Roman" w:hAnsi="Times New Roman" w:cs="Times New Roman"/>
          <w:sz w:val="24"/>
          <w:szCs w:val="24"/>
        </w:rPr>
        <w:t xml:space="preserve">stochastic gradient boosting, </w:t>
      </w:r>
      <w:r>
        <w:rPr>
          <w:rFonts w:ascii="Times New Roman" w:hAnsi="Times New Roman" w:cs="Times New Roman"/>
          <w:sz w:val="24"/>
          <w:szCs w:val="24"/>
        </w:rPr>
        <w:t xml:space="preserve">and support vector machine have higher prediction accuracy than Lasso or Naïve Bayes. </w:t>
      </w:r>
      <w:r w:rsidR="00341731">
        <w:rPr>
          <w:rFonts w:ascii="Times New Roman" w:hAnsi="Times New Roman" w:cs="Times New Roman"/>
          <w:sz w:val="24"/>
          <w:szCs w:val="24"/>
        </w:rPr>
        <w:t xml:space="preserve">For 10-day to 20-day forecasts random forests, extremely randomized trees, </w:t>
      </w:r>
      <w:r w:rsidR="00507F77">
        <w:rPr>
          <w:rFonts w:ascii="Times New Roman" w:hAnsi="Times New Roman" w:cs="Times New Roman"/>
          <w:sz w:val="24"/>
          <w:szCs w:val="24"/>
        </w:rPr>
        <w:t xml:space="preserve">stochastic gradient boosting, </w:t>
      </w:r>
      <w:r w:rsidR="00341731">
        <w:rPr>
          <w:rFonts w:ascii="Times New Roman" w:hAnsi="Times New Roman" w:cs="Times New Roman"/>
          <w:sz w:val="24"/>
          <w:szCs w:val="24"/>
        </w:rPr>
        <w:t xml:space="preserve">and support vector machine achieve prediction accuracies greater than 85%. </w:t>
      </w:r>
      <w:r w:rsidR="000D33EE">
        <w:rPr>
          <w:rFonts w:ascii="Times New Roman" w:hAnsi="Times New Roman" w:cs="Times New Roman"/>
          <w:sz w:val="24"/>
          <w:szCs w:val="24"/>
        </w:rPr>
        <w:t xml:space="preserve">In some cases, prediction accuracy reaches 90%. </w:t>
      </w:r>
      <w:r w:rsidR="00341731">
        <w:rPr>
          <w:rFonts w:ascii="Times New Roman" w:hAnsi="Times New Roman" w:cs="Times New Roman"/>
          <w:sz w:val="24"/>
          <w:szCs w:val="24"/>
        </w:rPr>
        <w:t>Lasso prediction accuracy is higher than Naïve Bayes bu</w:t>
      </w:r>
      <w:r w:rsidR="008A649B">
        <w:rPr>
          <w:rFonts w:ascii="Times New Roman" w:hAnsi="Times New Roman" w:cs="Times New Roman"/>
          <w:sz w:val="24"/>
          <w:szCs w:val="24"/>
        </w:rPr>
        <w:t>t</w:t>
      </w:r>
      <w:r w:rsidR="00341731">
        <w:rPr>
          <w:rFonts w:ascii="Times New Roman" w:hAnsi="Times New Roman" w:cs="Times New Roman"/>
          <w:sz w:val="24"/>
          <w:szCs w:val="24"/>
        </w:rPr>
        <w:t xml:space="preserve"> never greater than 65%. </w:t>
      </w:r>
      <w:r w:rsidR="002E17D0">
        <w:rPr>
          <w:rFonts w:ascii="Times New Roman" w:hAnsi="Times New Roman" w:cs="Times New Roman"/>
          <w:sz w:val="24"/>
          <w:szCs w:val="24"/>
        </w:rPr>
        <w:t xml:space="preserve">Technical </w:t>
      </w:r>
      <w:r w:rsidR="00B65AD3">
        <w:rPr>
          <w:rFonts w:ascii="Times New Roman" w:hAnsi="Times New Roman" w:cs="Times New Roman"/>
          <w:sz w:val="24"/>
          <w:szCs w:val="24"/>
        </w:rPr>
        <w:t>indicator</w:t>
      </w:r>
      <w:r w:rsidR="00630841">
        <w:rPr>
          <w:rFonts w:ascii="Times New Roman" w:hAnsi="Times New Roman" w:cs="Times New Roman"/>
          <w:sz w:val="24"/>
          <w:szCs w:val="24"/>
        </w:rPr>
        <w:t>s</w:t>
      </w:r>
      <w:r w:rsidR="00341A1D">
        <w:rPr>
          <w:rFonts w:ascii="Times New Roman" w:hAnsi="Times New Roman" w:cs="Times New Roman"/>
          <w:sz w:val="24"/>
          <w:szCs w:val="24"/>
        </w:rPr>
        <w:t xml:space="preserve"> </w:t>
      </w:r>
      <w:r w:rsidR="00C66848">
        <w:rPr>
          <w:rFonts w:ascii="Times New Roman" w:hAnsi="Times New Roman" w:cs="Times New Roman"/>
          <w:sz w:val="24"/>
          <w:szCs w:val="24"/>
        </w:rPr>
        <w:t xml:space="preserve">like MA200, MA50, and WAD </w:t>
      </w:r>
      <w:r w:rsidR="00341731">
        <w:rPr>
          <w:rFonts w:ascii="Times New Roman" w:hAnsi="Times New Roman" w:cs="Times New Roman"/>
          <w:sz w:val="24"/>
          <w:szCs w:val="24"/>
        </w:rPr>
        <w:t>are</w:t>
      </w:r>
      <w:r w:rsidR="000D33EE">
        <w:rPr>
          <w:rFonts w:ascii="Times New Roman" w:hAnsi="Times New Roman" w:cs="Times New Roman"/>
          <w:sz w:val="24"/>
          <w:szCs w:val="24"/>
        </w:rPr>
        <w:t>,</w:t>
      </w:r>
      <w:r w:rsidR="00C66848">
        <w:rPr>
          <w:rFonts w:ascii="Times New Roman" w:hAnsi="Times New Roman" w:cs="Times New Roman"/>
          <w:sz w:val="24"/>
          <w:szCs w:val="24"/>
        </w:rPr>
        <w:t xml:space="preserve"> </w:t>
      </w:r>
      <w:r w:rsidR="000D33EE">
        <w:rPr>
          <w:rFonts w:ascii="Times New Roman" w:hAnsi="Times New Roman" w:cs="Times New Roman"/>
          <w:sz w:val="24"/>
          <w:szCs w:val="24"/>
        </w:rPr>
        <w:t>on average,</w:t>
      </w:r>
      <w:r w:rsidR="00341731">
        <w:rPr>
          <w:rFonts w:ascii="Times New Roman" w:hAnsi="Times New Roman" w:cs="Times New Roman"/>
          <w:sz w:val="24"/>
          <w:szCs w:val="24"/>
        </w:rPr>
        <w:t xml:space="preserve"> the features </w:t>
      </w:r>
      <w:r w:rsidR="001042BA">
        <w:rPr>
          <w:rFonts w:ascii="Times New Roman" w:hAnsi="Times New Roman" w:cs="Times New Roman"/>
          <w:sz w:val="24"/>
          <w:szCs w:val="24"/>
        </w:rPr>
        <w:t xml:space="preserve">most important </w:t>
      </w:r>
      <w:r w:rsidR="00341731">
        <w:rPr>
          <w:rFonts w:ascii="Times New Roman" w:hAnsi="Times New Roman" w:cs="Times New Roman"/>
          <w:sz w:val="24"/>
          <w:szCs w:val="24"/>
        </w:rPr>
        <w:t xml:space="preserve">for predicting clean energy stock price direction. Of the non-technical indicators, VIX </w:t>
      </w:r>
      <w:r w:rsidR="00A56CF2">
        <w:rPr>
          <w:rFonts w:ascii="Times New Roman" w:hAnsi="Times New Roman" w:cs="Times New Roman"/>
          <w:sz w:val="24"/>
          <w:szCs w:val="24"/>
        </w:rPr>
        <w:t>and</w:t>
      </w:r>
      <w:r w:rsidR="00683FCB">
        <w:rPr>
          <w:rFonts w:ascii="Times New Roman" w:hAnsi="Times New Roman" w:cs="Times New Roman"/>
          <w:sz w:val="24"/>
          <w:szCs w:val="24"/>
        </w:rPr>
        <w:t xml:space="preserve"> OVX </w:t>
      </w:r>
      <w:r w:rsidR="00A56CF2">
        <w:rPr>
          <w:rFonts w:ascii="Times New Roman" w:hAnsi="Times New Roman" w:cs="Times New Roman"/>
          <w:sz w:val="24"/>
          <w:szCs w:val="24"/>
        </w:rPr>
        <w:t xml:space="preserve">are consistently ranked high in </w:t>
      </w:r>
      <w:r w:rsidR="00683FCB">
        <w:rPr>
          <w:rFonts w:ascii="Times New Roman" w:hAnsi="Times New Roman" w:cs="Times New Roman"/>
          <w:sz w:val="24"/>
          <w:szCs w:val="24"/>
        </w:rPr>
        <w:t>importan</w:t>
      </w:r>
      <w:r w:rsidR="00A56CF2">
        <w:rPr>
          <w:rFonts w:ascii="Times New Roman" w:hAnsi="Times New Roman" w:cs="Times New Roman"/>
          <w:sz w:val="24"/>
          <w:szCs w:val="24"/>
        </w:rPr>
        <w:t>ce</w:t>
      </w:r>
      <w:r w:rsidR="00341731">
        <w:rPr>
          <w:rFonts w:ascii="Times New Roman" w:hAnsi="Times New Roman" w:cs="Times New Roman"/>
          <w:sz w:val="24"/>
          <w:szCs w:val="24"/>
        </w:rPr>
        <w:t>.</w:t>
      </w:r>
      <w:r w:rsidR="007E75C6">
        <w:rPr>
          <w:rFonts w:ascii="Times New Roman" w:hAnsi="Times New Roman" w:cs="Times New Roman"/>
          <w:sz w:val="24"/>
          <w:szCs w:val="24"/>
        </w:rPr>
        <w:t xml:space="preserve"> </w:t>
      </w:r>
      <w:r w:rsidR="001042BA">
        <w:rPr>
          <w:rFonts w:ascii="Times New Roman" w:hAnsi="Times New Roman" w:cs="Times New Roman"/>
          <w:sz w:val="24"/>
          <w:szCs w:val="24"/>
        </w:rPr>
        <w:t xml:space="preserve">Of the forecasting methods considered, extremely randomized trees are </w:t>
      </w:r>
      <w:r w:rsidR="00B65AD3">
        <w:rPr>
          <w:rFonts w:ascii="Times New Roman" w:hAnsi="Times New Roman" w:cs="Times New Roman"/>
          <w:sz w:val="24"/>
          <w:szCs w:val="24"/>
        </w:rPr>
        <w:t>impressive</w:t>
      </w:r>
      <w:r w:rsidR="001042BA">
        <w:rPr>
          <w:rFonts w:ascii="Times New Roman" w:hAnsi="Times New Roman" w:cs="Times New Roman"/>
          <w:sz w:val="24"/>
          <w:szCs w:val="24"/>
        </w:rPr>
        <w:t xml:space="preserve"> due to high accuracy and less computational time. </w:t>
      </w:r>
    </w:p>
    <w:p w14:paraId="49937D1E" w14:textId="487841C0" w:rsidR="00A31F3E" w:rsidRDefault="00A31F3E" w:rsidP="00463FF3">
      <w:pPr>
        <w:spacing w:after="0" w:line="240" w:lineRule="auto"/>
        <w:rPr>
          <w:rFonts w:ascii="Times New Roman" w:hAnsi="Times New Roman" w:cs="Times New Roman"/>
          <w:sz w:val="24"/>
          <w:szCs w:val="24"/>
          <w:lang w:val="en-AU"/>
        </w:rPr>
      </w:pPr>
    </w:p>
    <w:bookmarkEnd w:id="0"/>
    <w:p w14:paraId="3A33C7BB" w14:textId="77777777" w:rsidR="00A31F3E" w:rsidRDefault="00A31F3E" w:rsidP="00A31F3E">
      <w:pPr>
        <w:spacing w:after="0" w:line="240" w:lineRule="auto"/>
        <w:ind w:firstLine="720"/>
        <w:rPr>
          <w:rFonts w:ascii="Times New Roman" w:hAnsi="Times New Roman" w:cs="Times New Roman"/>
          <w:sz w:val="24"/>
          <w:szCs w:val="24"/>
          <w:lang w:val="en-AU"/>
        </w:rPr>
      </w:pPr>
    </w:p>
    <w:p w14:paraId="138D2A07" w14:textId="376B4147" w:rsidR="00B834AD" w:rsidRPr="006E61D8" w:rsidRDefault="00A31F3E" w:rsidP="00EE7EC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9920039" w14:textId="7E1AF2A7" w:rsidR="00A31F3E" w:rsidRDefault="00A31F3E" w:rsidP="00A31F3E">
      <w:pPr>
        <w:rPr>
          <w:rFonts w:ascii="Times New Roman" w:hAnsi="Times New Roman" w:cs="Times New Roman"/>
          <w:sz w:val="24"/>
          <w:szCs w:val="24"/>
        </w:rPr>
      </w:pPr>
      <w:r w:rsidRPr="006E61D8">
        <w:rPr>
          <w:rFonts w:ascii="Times New Roman" w:hAnsi="Times New Roman" w:cs="Times New Roman"/>
          <w:b/>
          <w:sz w:val="24"/>
          <w:szCs w:val="24"/>
        </w:rPr>
        <w:t>Keywords</w:t>
      </w:r>
      <w:r w:rsidRPr="006E61D8">
        <w:rPr>
          <w:rFonts w:ascii="Times New Roman" w:hAnsi="Times New Roman" w:cs="Times New Roman"/>
          <w:sz w:val="24"/>
          <w:szCs w:val="24"/>
        </w:rPr>
        <w:t xml:space="preserve">: </w:t>
      </w:r>
      <w:r w:rsidR="001042BA">
        <w:rPr>
          <w:rFonts w:ascii="Times New Roman" w:hAnsi="Times New Roman" w:cs="Times New Roman"/>
          <w:sz w:val="24"/>
          <w:szCs w:val="24"/>
        </w:rPr>
        <w:t xml:space="preserve">clean energy stock prices; </w:t>
      </w:r>
      <w:r w:rsidR="00C03E96">
        <w:rPr>
          <w:rFonts w:ascii="Times New Roman" w:hAnsi="Times New Roman" w:cs="Times New Roman"/>
          <w:sz w:val="24"/>
          <w:szCs w:val="24"/>
        </w:rPr>
        <w:t>forecasting; machine learning; r</w:t>
      </w:r>
      <w:r w:rsidR="00FE6626">
        <w:rPr>
          <w:rFonts w:ascii="Times New Roman" w:hAnsi="Times New Roman" w:cs="Times New Roman"/>
          <w:sz w:val="24"/>
          <w:szCs w:val="24"/>
        </w:rPr>
        <w:t>andom forests</w:t>
      </w:r>
      <w:r>
        <w:rPr>
          <w:rFonts w:ascii="Times New Roman" w:hAnsi="Times New Roman" w:cs="Times New Roman"/>
          <w:sz w:val="24"/>
          <w:szCs w:val="24"/>
        </w:rPr>
        <w:t xml:space="preserve">; </w:t>
      </w:r>
      <w:r w:rsidR="00432EDC">
        <w:rPr>
          <w:rFonts w:ascii="Times New Roman" w:hAnsi="Times New Roman" w:cs="Times New Roman"/>
          <w:sz w:val="24"/>
          <w:szCs w:val="24"/>
        </w:rPr>
        <w:t>VIX</w:t>
      </w:r>
    </w:p>
    <w:p w14:paraId="207EFD88" w14:textId="2E5E611F" w:rsidR="009B1BAF" w:rsidRPr="00027D87" w:rsidRDefault="00A31F3E">
      <w:pPr>
        <w:rPr>
          <w:rFonts w:ascii="Times New Roman" w:hAnsi="Times New Roman" w:cs="Times New Roman"/>
          <w:sz w:val="24"/>
          <w:szCs w:val="24"/>
        </w:rPr>
      </w:pPr>
      <w:r>
        <w:rPr>
          <w:rFonts w:ascii="Times New Roman" w:hAnsi="Times New Roman" w:cs="Times New Roman"/>
          <w:sz w:val="24"/>
          <w:szCs w:val="24"/>
        </w:rPr>
        <w:t xml:space="preserve">JEL Classification: </w:t>
      </w:r>
      <w:r w:rsidR="003B1845">
        <w:rPr>
          <w:rFonts w:ascii="Times New Roman" w:hAnsi="Times New Roman" w:cs="Times New Roman"/>
          <w:sz w:val="24"/>
          <w:szCs w:val="24"/>
        </w:rPr>
        <w:t xml:space="preserve">G17; </w:t>
      </w:r>
      <w:r>
        <w:rPr>
          <w:rFonts w:ascii="Times New Roman" w:hAnsi="Times New Roman" w:cs="Times New Roman"/>
          <w:sz w:val="24"/>
          <w:szCs w:val="24"/>
        </w:rPr>
        <w:t>Q4</w:t>
      </w:r>
      <w:r w:rsidR="00FC6569">
        <w:rPr>
          <w:rFonts w:ascii="Times New Roman" w:hAnsi="Times New Roman" w:cs="Times New Roman"/>
          <w:sz w:val="24"/>
          <w:szCs w:val="24"/>
        </w:rPr>
        <w:t>2</w:t>
      </w:r>
      <w:r>
        <w:rPr>
          <w:rFonts w:ascii="Times New Roman" w:hAnsi="Times New Roman" w:cs="Times New Roman"/>
          <w:sz w:val="24"/>
          <w:szCs w:val="24"/>
        </w:rPr>
        <w:t>, Q</w:t>
      </w:r>
      <w:r w:rsidR="00FC6569">
        <w:rPr>
          <w:rFonts w:ascii="Times New Roman" w:hAnsi="Times New Roman" w:cs="Times New Roman"/>
          <w:sz w:val="24"/>
          <w:szCs w:val="24"/>
        </w:rPr>
        <w:t>47</w:t>
      </w:r>
      <w:r w:rsidR="009B1BAF">
        <w:rPr>
          <w:rFonts w:ascii="Times New Roman" w:hAnsi="Times New Roman" w:cs="Times New Roman"/>
          <w:sz w:val="24"/>
          <w:szCs w:val="24"/>
        </w:rPr>
        <w:br w:type="page"/>
      </w:r>
    </w:p>
    <w:p w14:paraId="7534DE1F" w14:textId="370B236C" w:rsidR="00200037" w:rsidRPr="00474ADF" w:rsidRDefault="00596792" w:rsidP="00474ADF">
      <w:pPr>
        <w:spacing w:after="0" w:line="480" w:lineRule="auto"/>
        <w:rPr>
          <w:rFonts w:ascii="Times New Roman" w:hAnsi="Times New Roman" w:cs="Times New Roman"/>
          <w:b/>
          <w:sz w:val="24"/>
          <w:szCs w:val="24"/>
        </w:rPr>
      </w:pPr>
      <w:r w:rsidRPr="00596792">
        <w:rPr>
          <w:rFonts w:ascii="Times New Roman" w:hAnsi="Times New Roman" w:cs="Times New Roman"/>
          <w:b/>
          <w:sz w:val="24"/>
          <w:szCs w:val="24"/>
        </w:rPr>
        <w:lastRenderedPageBreak/>
        <w:t xml:space="preserve">1. </w:t>
      </w:r>
      <w:r w:rsidR="00A31F3E" w:rsidRPr="00596792">
        <w:rPr>
          <w:rFonts w:ascii="Times New Roman" w:hAnsi="Times New Roman" w:cs="Times New Roman"/>
          <w:b/>
          <w:sz w:val="24"/>
          <w:szCs w:val="24"/>
        </w:rPr>
        <w:t>Introduction</w:t>
      </w:r>
    </w:p>
    <w:p w14:paraId="7192F5FC" w14:textId="657D77BB" w:rsidR="00BB575A" w:rsidRPr="00FE6626" w:rsidRDefault="00DE00B6" w:rsidP="004D6F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Addressing </w:t>
      </w:r>
      <w:r w:rsidR="00FE6626" w:rsidRPr="00FE6626">
        <w:rPr>
          <w:rFonts w:ascii="Times New Roman" w:hAnsi="Times New Roman" w:cs="Times New Roman"/>
          <w:sz w:val="24"/>
          <w:szCs w:val="24"/>
        </w:rPr>
        <w:t>climate change</w:t>
      </w:r>
      <w:r>
        <w:rPr>
          <w:rFonts w:ascii="Times New Roman" w:hAnsi="Times New Roman" w:cs="Times New Roman"/>
          <w:sz w:val="24"/>
          <w:szCs w:val="24"/>
        </w:rPr>
        <w:t xml:space="preserve"> and transitioning to a low carbon economy requi</w:t>
      </w:r>
      <w:r w:rsidR="00706741">
        <w:rPr>
          <w:rFonts w:ascii="Times New Roman" w:hAnsi="Times New Roman" w:cs="Times New Roman"/>
          <w:sz w:val="24"/>
          <w:szCs w:val="24"/>
        </w:rPr>
        <w:t>r</w:t>
      </w:r>
      <w:r>
        <w:rPr>
          <w:rFonts w:ascii="Times New Roman" w:hAnsi="Times New Roman" w:cs="Times New Roman"/>
          <w:sz w:val="24"/>
          <w:szCs w:val="24"/>
        </w:rPr>
        <w:t xml:space="preserve">es investment in clean energy. </w:t>
      </w:r>
      <w:r w:rsidR="005348CF">
        <w:rPr>
          <w:rFonts w:ascii="Times New Roman" w:hAnsi="Times New Roman" w:cs="Times New Roman"/>
          <w:sz w:val="24"/>
          <w:szCs w:val="24"/>
        </w:rPr>
        <w:t xml:space="preserve">According to </w:t>
      </w:r>
      <w:proofErr w:type="spellStart"/>
      <w:r w:rsidR="005348CF">
        <w:rPr>
          <w:rFonts w:ascii="Times New Roman" w:hAnsi="Times New Roman" w:cs="Times New Roman"/>
          <w:sz w:val="24"/>
          <w:szCs w:val="24"/>
        </w:rPr>
        <w:t>Bloomber</w:t>
      </w:r>
      <w:r>
        <w:rPr>
          <w:rFonts w:ascii="Times New Roman" w:hAnsi="Times New Roman" w:cs="Times New Roman"/>
          <w:sz w:val="24"/>
          <w:szCs w:val="24"/>
        </w:rPr>
        <w:t>g</w:t>
      </w:r>
      <w:r w:rsidR="005348CF">
        <w:rPr>
          <w:rFonts w:ascii="Times New Roman" w:hAnsi="Times New Roman" w:cs="Times New Roman"/>
          <w:sz w:val="24"/>
          <w:szCs w:val="24"/>
        </w:rPr>
        <w:t>NEF</w:t>
      </w:r>
      <w:proofErr w:type="spellEnd"/>
      <w:r w:rsidR="005348C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2A666A">
        <w:rPr>
          <w:rFonts w:ascii="Times New Roman" w:hAnsi="Times New Roman" w:cs="Times New Roman"/>
          <w:sz w:val="24"/>
          <w:szCs w:val="24"/>
        </w:rPr>
        <w:instrText xml:space="preserve"> ADDIN ZOTERO_ITEM CSL_CITATION {"citationID":"83mq8ozd","properties":{"formattedCitation":"(BloombergNEF, 2022)","plainCitation":"(BloombergNEF, 2022)","noteIndex":0},"citationItems":[{"id":3639,"uris":["http://zotero.org/users/5823779/items/GTFLZFC2"],"itemData":{"id":3639,"type":"report","abstract":"Bloomberg NEF has been tracking clean energy investment globally for more than 10 years, across &gt;100,000 deals and project records.","language":"en-US","title":"Energy Transition Investment Trends 2022","URL":"https://about.bnef.com/energy-transition-investment/","author":[{"family":"BloombergNEF","given":""}],"accessed":{"date-parts":[["2022",5,24]]},"issued":{"date-parts":[["2022"]]}}}],"schema":"https://github.com/citation-style-language/schema/raw/master/csl-citation.json"} </w:instrText>
      </w:r>
      <w:r>
        <w:rPr>
          <w:rFonts w:ascii="Times New Roman" w:hAnsi="Times New Roman" w:cs="Times New Roman"/>
          <w:sz w:val="24"/>
          <w:szCs w:val="24"/>
        </w:rPr>
        <w:fldChar w:fldCharType="separate"/>
      </w:r>
      <w:r w:rsidR="00F31A70" w:rsidRPr="00F31A70">
        <w:rPr>
          <w:rFonts w:ascii="Times New Roman" w:hAnsi="Times New Roman" w:cs="Times New Roman"/>
          <w:sz w:val="24"/>
        </w:rPr>
        <w:t>(BloombergNEF, 2022)</w:t>
      </w:r>
      <w:r>
        <w:rPr>
          <w:rFonts w:ascii="Times New Roman" w:hAnsi="Times New Roman" w:cs="Times New Roman"/>
          <w:sz w:val="24"/>
          <w:szCs w:val="24"/>
        </w:rPr>
        <w:fldChar w:fldCharType="end"/>
      </w:r>
      <w:r w:rsidR="005348CF">
        <w:rPr>
          <w:rFonts w:ascii="Times New Roman" w:hAnsi="Times New Roman" w:cs="Times New Roman"/>
          <w:sz w:val="24"/>
          <w:szCs w:val="24"/>
        </w:rPr>
        <w:t xml:space="preserve"> global energy transition investment in 2021 was $755 billion</w:t>
      </w:r>
      <w:r w:rsidR="003F571D">
        <w:rPr>
          <w:rFonts w:ascii="Times New Roman" w:hAnsi="Times New Roman" w:cs="Times New Roman"/>
          <w:sz w:val="24"/>
          <w:szCs w:val="24"/>
        </w:rPr>
        <w:t xml:space="preserve"> (US)</w:t>
      </w:r>
      <w:r w:rsidR="005348CF">
        <w:rPr>
          <w:rFonts w:ascii="Times New Roman" w:hAnsi="Times New Roman" w:cs="Times New Roman"/>
          <w:sz w:val="24"/>
          <w:szCs w:val="24"/>
        </w:rPr>
        <w:t xml:space="preserve">. This investment includes sustainable materials, </w:t>
      </w:r>
      <w:r w:rsidR="00706741">
        <w:rPr>
          <w:rFonts w:ascii="Times New Roman" w:hAnsi="Times New Roman" w:cs="Times New Roman"/>
          <w:sz w:val="24"/>
          <w:szCs w:val="24"/>
        </w:rPr>
        <w:t>carbon capture and storage (</w:t>
      </w:r>
      <w:r w:rsidR="005348CF">
        <w:rPr>
          <w:rFonts w:ascii="Times New Roman" w:hAnsi="Times New Roman" w:cs="Times New Roman"/>
          <w:sz w:val="24"/>
          <w:szCs w:val="24"/>
        </w:rPr>
        <w:t>CCS</w:t>
      </w:r>
      <w:r w:rsidR="00706741">
        <w:rPr>
          <w:rFonts w:ascii="Times New Roman" w:hAnsi="Times New Roman" w:cs="Times New Roman"/>
          <w:sz w:val="24"/>
          <w:szCs w:val="24"/>
        </w:rPr>
        <w:t>)</w:t>
      </w:r>
      <w:r w:rsidR="005348CF">
        <w:rPr>
          <w:rFonts w:ascii="Times New Roman" w:hAnsi="Times New Roman" w:cs="Times New Roman"/>
          <w:sz w:val="24"/>
          <w:szCs w:val="24"/>
        </w:rPr>
        <w:t xml:space="preserve">, hydrogen, nuclear, electrified heat, electrified transport, electricity storage, and renewable energy. Over the period 2004 to 2021 the compound annual growth rate (CAGR) of </w:t>
      </w:r>
      <w:r w:rsidR="00A22396">
        <w:rPr>
          <w:rFonts w:ascii="Times New Roman" w:hAnsi="Times New Roman" w:cs="Times New Roman"/>
          <w:sz w:val="24"/>
          <w:szCs w:val="24"/>
        </w:rPr>
        <w:t>energy transition</w:t>
      </w:r>
      <w:r w:rsidR="005348CF">
        <w:rPr>
          <w:rFonts w:ascii="Times New Roman" w:hAnsi="Times New Roman" w:cs="Times New Roman"/>
          <w:sz w:val="24"/>
          <w:szCs w:val="24"/>
        </w:rPr>
        <w:t xml:space="preserve"> investment was </w:t>
      </w:r>
      <w:r w:rsidR="003F571D">
        <w:rPr>
          <w:rFonts w:ascii="Times New Roman" w:hAnsi="Times New Roman" w:cs="Times New Roman"/>
          <w:sz w:val="24"/>
          <w:szCs w:val="24"/>
        </w:rPr>
        <w:t>20</w:t>
      </w:r>
      <w:r w:rsidR="005348CF">
        <w:rPr>
          <w:rFonts w:ascii="Times New Roman" w:hAnsi="Times New Roman" w:cs="Times New Roman"/>
          <w:sz w:val="24"/>
          <w:szCs w:val="24"/>
        </w:rPr>
        <w:t>%. For the year 2021 the two largest sectors were renewable energy and electrified transport due to increases in wind and solar installations and large increases in electric vehicle sales.</w:t>
      </w:r>
      <w:r>
        <w:rPr>
          <w:rFonts w:ascii="Times New Roman" w:hAnsi="Times New Roman" w:cs="Times New Roman"/>
          <w:sz w:val="24"/>
          <w:szCs w:val="24"/>
        </w:rPr>
        <w:t xml:space="preserve"> At current trends, the electrified transport sector </w:t>
      </w:r>
      <w:r w:rsidR="00706741">
        <w:rPr>
          <w:rFonts w:ascii="Times New Roman" w:hAnsi="Times New Roman" w:cs="Times New Roman"/>
          <w:sz w:val="24"/>
          <w:szCs w:val="24"/>
        </w:rPr>
        <w:t>will</w:t>
      </w:r>
      <w:r>
        <w:rPr>
          <w:rFonts w:ascii="Times New Roman" w:hAnsi="Times New Roman" w:cs="Times New Roman"/>
          <w:sz w:val="24"/>
          <w:szCs w:val="24"/>
        </w:rPr>
        <w:t xml:space="preserve"> overtake renewable energy as the top sector </w:t>
      </w:r>
      <w:r w:rsidR="00211974">
        <w:rPr>
          <w:rFonts w:ascii="Times New Roman" w:hAnsi="Times New Roman" w:cs="Times New Roman"/>
          <w:sz w:val="24"/>
          <w:szCs w:val="24"/>
        </w:rPr>
        <w:t>by the year 202</w:t>
      </w:r>
      <w:r w:rsidR="0034715E">
        <w:rPr>
          <w:rFonts w:ascii="Times New Roman" w:hAnsi="Times New Roman" w:cs="Times New Roman"/>
          <w:sz w:val="24"/>
          <w:szCs w:val="24"/>
        </w:rPr>
        <w:t>4</w:t>
      </w:r>
      <w:r>
        <w:rPr>
          <w:rFonts w:ascii="Times New Roman" w:hAnsi="Times New Roman" w:cs="Times New Roman"/>
          <w:sz w:val="24"/>
          <w:szCs w:val="24"/>
        </w:rPr>
        <w:t xml:space="preserve">. Investment levels increased to a new record in every major region of the world. On a country basis, China’s energy transition investment </w:t>
      </w:r>
      <w:r w:rsidR="00211974">
        <w:rPr>
          <w:rFonts w:ascii="Times New Roman" w:hAnsi="Times New Roman" w:cs="Times New Roman"/>
          <w:sz w:val="24"/>
          <w:szCs w:val="24"/>
        </w:rPr>
        <w:t xml:space="preserve">in 2021 </w:t>
      </w:r>
      <w:r>
        <w:rPr>
          <w:rFonts w:ascii="Times New Roman" w:hAnsi="Times New Roman" w:cs="Times New Roman"/>
          <w:sz w:val="24"/>
          <w:szCs w:val="24"/>
        </w:rPr>
        <w:t>was the highest ($268 billion), the US was second ($114 billion), and Germany was third ($47 billion).</w:t>
      </w:r>
    </w:p>
    <w:p w14:paraId="464117C5" w14:textId="658A572B" w:rsidR="00682B66" w:rsidRDefault="00FE6626" w:rsidP="00FE6626">
      <w:pPr>
        <w:spacing w:line="480" w:lineRule="auto"/>
        <w:rPr>
          <w:rFonts w:ascii="Times New Roman" w:hAnsi="Times New Roman" w:cs="Times New Roman"/>
          <w:sz w:val="24"/>
          <w:szCs w:val="24"/>
        </w:rPr>
      </w:pPr>
      <w:r>
        <w:rPr>
          <w:rFonts w:ascii="Times New Roman" w:hAnsi="Times New Roman" w:cs="Times New Roman"/>
          <w:sz w:val="24"/>
          <w:szCs w:val="24"/>
        </w:rPr>
        <w:tab/>
      </w:r>
      <w:r w:rsidR="00BB575A">
        <w:rPr>
          <w:rFonts w:ascii="Times New Roman" w:hAnsi="Times New Roman" w:cs="Times New Roman"/>
          <w:sz w:val="24"/>
          <w:szCs w:val="24"/>
        </w:rPr>
        <w:t>I</w:t>
      </w:r>
      <w:r w:rsidRPr="00FE6626">
        <w:rPr>
          <w:rFonts w:ascii="Times New Roman" w:hAnsi="Times New Roman" w:cs="Times New Roman"/>
          <w:sz w:val="24"/>
          <w:szCs w:val="24"/>
        </w:rPr>
        <w:t>ncrease</w:t>
      </w:r>
      <w:r w:rsidR="00BB575A">
        <w:rPr>
          <w:rFonts w:ascii="Times New Roman" w:hAnsi="Times New Roman" w:cs="Times New Roman"/>
          <w:sz w:val="24"/>
          <w:szCs w:val="24"/>
        </w:rPr>
        <w:t>s</w:t>
      </w:r>
      <w:r w:rsidRPr="00FE6626">
        <w:rPr>
          <w:rFonts w:ascii="Times New Roman" w:hAnsi="Times New Roman" w:cs="Times New Roman"/>
          <w:sz w:val="24"/>
          <w:szCs w:val="24"/>
        </w:rPr>
        <w:t xml:space="preserve"> in </w:t>
      </w:r>
      <w:r w:rsidR="0069446E">
        <w:rPr>
          <w:rFonts w:ascii="Times New Roman" w:hAnsi="Times New Roman" w:cs="Times New Roman"/>
          <w:sz w:val="24"/>
          <w:szCs w:val="24"/>
        </w:rPr>
        <w:t>clean</w:t>
      </w:r>
      <w:r w:rsidRPr="00FE6626">
        <w:rPr>
          <w:rFonts w:ascii="Times New Roman" w:hAnsi="Times New Roman" w:cs="Times New Roman"/>
          <w:sz w:val="24"/>
          <w:szCs w:val="24"/>
        </w:rPr>
        <w:t xml:space="preserve"> energy </w:t>
      </w:r>
      <w:r w:rsidR="00BB575A">
        <w:rPr>
          <w:rFonts w:ascii="Times New Roman" w:hAnsi="Times New Roman" w:cs="Times New Roman"/>
          <w:sz w:val="24"/>
          <w:szCs w:val="24"/>
        </w:rPr>
        <w:t>usage are</w:t>
      </w:r>
      <w:r w:rsidRPr="00FE6626">
        <w:rPr>
          <w:rFonts w:ascii="Times New Roman" w:hAnsi="Times New Roman" w:cs="Times New Roman"/>
          <w:sz w:val="24"/>
          <w:szCs w:val="24"/>
        </w:rPr>
        <w:t xml:space="preserve"> </w:t>
      </w:r>
      <w:r w:rsidR="00BB575A">
        <w:rPr>
          <w:rFonts w:ascii="Times New Roman" w:hAnsi="Times New Roman" w:cs="Times New Roman"/>
          <w:sz w:val="24"/>
          <w:szCs w:val="24"/>
        </w:rPr>
        <w:t xml:space="preserve">creating new </w:t>
      </w:r>
      <w:r w:rsidR="00A22396">
        <w:rPr>
          <w:rFonts w:ascii="Times New Roman" w:hAnsi="Times New Roman" w:cs="Times New Roman"/>
          <w:sz w:val="24"/>
          <w:szCs w:val="24"/>
        </w:rPr>
        <w:t xml:space="preserve">opportunities for clean energy equity </w:t>
      </w:r>
      <w:r w:rsidR="00BB575A">
        <w:rPr>
          <w:rFonts w:ascii="Times New Roman" w:hAnsi="Times New Roman" w:cs="Times New Roman"/>
          <w:sz w:val="24"/>
          <w:szCs w:val="24"/>
        </w:rPr>
        <w:t>invest</w:t>
      </w:r>
      <w:r w:rsidR="00A22396">
        <w:rPr>
          <w:rFonts w:ascii="Times New Roman" w:hAnsi="Times New Roman" w:cs="Times New Roman"/>
          <w:sz w:val="24"/>
          <w:szCs w:val="24"/>
        </w:rPr>
        <w:t>ing</w:t>
      </w:r>
      <w:r w:rsidR="00BB575A">
        <w:rPr>
          <w:rFonts w:ascii="Times New Roman" w:hAnsi="Times New Roman" w:cs="Times New Roman"/>
          <w:sz w:val="24"/>
          <w:szCs w:val="24"/>
        </w:rPr>
        <w:t xml:space="preserve">. </w:t>
      </w:r>
      <w:r w:rsidR="002260BC" w:rsidRPr="002260BC">
        <w:rPr>
          <w:rFonts w:ascii="Times New Roman" w:hAnsi="Times New Roman" w:cs="Times New Roman"/>
          <w:sz w:val="24"/>
          <w:szCs w:val="24"/>
        </w:rPr>
        <w:t>The</w:t>
      </w:r>
      <w:r w:rsidR="002260BC">
        <w:rPr>
          <w:rFonts w:ascii="Times New Roman" w:hAnsi="Times New Roman" w:cs="Times New Roman"/>
          <w:sz w:val="24"/>
          <w:szCs w:val="24"/>
        </w:rPr>
        <w:t xml:space="preserve"> existing </w:t>
      </w:r>
      <w:r w:rsidR="002260BC" w:rsidRPr="002260BC">
        <w:rPr>
          <w:rFonts w:ascii="Times New Roman" w:hAnsi="Times New Roman" w:cs="Times New Roman"/>
          <w:sz w:val="24"/>
          <w:szCs w:val="24"/>
        </w:rPr>
        <w:t xml:space="preserve">literature </w:t>
      </w:r>
      <w:r w:rsidR="004A7015">
        <w:rPr>
          <w:rFonts w:ascii="Times New Roman" w:hAnsi="Times New Roman" w:cs="Times New Roman"/>
          <w:sz w:val="24"/>
          <w:szCs w:val="24"/>
        </w:rPr>
        <w:t xml:space="preserve">mostly focuses on the </w:t>
      </w:r>
      <w:r w:rsidR="002260BC" w:rsidRPr="002260BC">
        <w:rPr>
          <w:rFonts w:ascii="Times New Roman" w:hAnsi="Times New Roman" w:cs="Times New Roman"/>
          <w:sz w:val="24"/>
          <w:szCs w:val="24"/>
        </w:rPr>
        <w:t>dynamic</w:t>
      </w:r>
      <w:r w:rsidR="004A7015">
        <w:rPr>
          <w:rFonts w:ascii="Times New Roman" w:hAnsi="Times New Roman" w:cs="Times New Roman"/>
          <w:sz w:val="24"/>
          <w:szCs w:val="24"/>
        </w:rPr>
        <w:t xml:space="preserve"> relationship between </w:t>
      </w:r>
      <w:r w:rsidR="004A7015" w:rsidRPr="002260BC">
        <w:rPr>
          <w:rFonts w:ascii="Times New Roman" w:hAnsi="Times New Roman" w:cs="Times New Roman"/>
          <w:sz w:val="24"/>
          <w:szCs w:val="24"/>
        </w:rPr>
        <w:t>clean energy equit</w:t>
      </w:r>
      <w:r w:rsidR="004A7015">
        <w:rPr>
          <w:rFonts w:ascii="Times New Roman" w:hAnsi="Times New Roman" w:cs="Times New Roman"/>
          <w:sz w:val="24"/>
          <w:szCs w:val="24"/>
        </w:rPr>
        <w:t xml:space="preserve">ies, </w:t>
      </w:r>
      <w:r w:rsidR="002260BC" w:rsidRPr="002260BC">
        <w:rPr>
          <w:rFonts w:ascii="Times New Roman" w:hAnsi="Times New Roman" w:cs="Times New Roman"/>
          <w:sz w:val="24"/>
          <w:szCs w:val="24"/>
        </w:rPr>
        <w:t>oil prices</w:t>
      </w:r>
      <w:r w:rsidR="004A7015">
        <w:rPr>
          <w:rFonts w:ascii="Times New Roman" w:hAnsi="Times New Roman" w:cs="Times New Roman"/>
          <w:sz w:val="24"/>
          <w:szCs w:val="24"/>
        </w:rPr>
        <w:t>,  technology stock prices,</w:t>
      </w:r>
      <w:r w:rsidR="002260BC" w:rsidRPr="002260BC">
        <w:rPr>
          <w:rFonts w:ascii="Times New Roman" w:hAnsi="Times New Roman" w:cs="Times New Roman"/>
          <w:sz w:val="24"/>
          <w:szCs w:val="24"/>
        </w:rPr>
        <w:t xml:space="preserve"> </w:t>
      </w:r>
      <w:r w:rsidR="00470DB1">
        <w:rPr>
          <w:rFonts w:ascii="Times New Roman" w:hAnsi="Times New Roman" w:cs="Times New Roman"/>
          <w:sz w:val="24"/>
          <w:szCs w:val="24"/>
        </w:rPr>
        <w:t xml:space="preserve">and other important macroeconomic variables </w:t>
      </w:r>
      <w:r w:rsidR="004A7015">
        <w:rPr>
          <w:rFonts w:ascii="Times New Roman" w:hAnsi="Times New Roman" w:cs="Times New Roman"/>
          <w:sz w:val="24"/>
          <w:szCs w:val="24"/>
        </w:rPr>
        <w:t xml:space="preserve">like </w:t>
      </w:r>
      <w:r w:rsidR="00BB4F85">
        <w:rPr>
          <w:rFonts w:ascii="Times New Roman" w:hAnsi="Times New Roman" w:cs="Times New Roman"/>
          <w:sz w:val="24"/>
          <w:szCs w:val="24"/>
        </w:rPr>
        <w:t xml:space="preserve">financial </w:t>
      </w:r>
      <w:r w:rsidR="004A7015">
        <w:rPr>
          <w:rFonts w:ascii="Times New Roman" w:hAnsi="Times New Roman" w:cs="Times New Roman"/>
          <w:sz w:val="24"/>
          <w:szCs w:val="24"/>
        </w:rPr>
        <w:t>market volatility and economic policy uncertainty</w:t>
      </w:r>
      <w:r w:rsidR="002260BC" w:rsidRPr="002260BC">
        <w:rPr>
          <w:rFonts w:ascii="Times New Roman" w:hAnsi="Times New Roman" w:cs="Times New Roman"/>
          <w:sz w:val="24"/>
          <w:szCs w:val="24"/>
        </w:rPr>
        <w:t xml:space="preserve"> </w:t>
      </w:r>
      <w:r w:rsidR="002260BC" w:rsidRPr="002260BC">
        <w:rPr>
          <w:rFonts w:ascii="Times New Roman" w:hAnsi="Times New Roman" w:cs="Times New Roman"/>
          <w:sz w:val="24"/>
          <w:szCs w:val="24"/>
        </w:rPr>
        <w:fldChar w:fldCharType="begin"/>
      </w:r>
      <w:r w:rsidR="003919DA">
        <w:rPr>
          <w:rFonts w:ascii="Times New Roman" w:hAnsi="Times New Roman" w:cs="Times New Roman"/>
          <w:sz w:val="24"/>
          <w:szCs w:val="24"/>
        </w:rPr>
        <w:instrText xml:space="preserve"> ADDIN ZOTERO_ITEM CSL_CITATION {"citationID":"fhODXIKH","properties":{"formattedCitation":"(Bondia et al., 2016; Dutta, 2017; Dutta et al., 2018; Elie et al., 2019a, 2019b; Ferrer et al., 2018; Geng et al., 2021; Gupta, 2017; Henriques and Sadorsky, 2008; Kumar et al., 2012; Le et al., 2021; Maghyereh et al., 2019; Managi and Okimoto, 2013; Nasreen et al., 2020; Pham, 2021, 2019; Reboredo, 2015; Reboredo et al., 2017; Reboredo and Ugolini, 2018; Saeed et al., 2021; Uddin et al., 2019; Wen et al., 2014)","plainCitation":"(Bondia et al., 2016; Dutta, 2017; Dutta et al., 2018; Elie et al., 2019a, 2019b; Ferrer et al., 2018; Geng et al., 2021; Gupta, 2017; Henriques and Sadorsky, 2008; Kumar et al., 2012; Le et al., 2021; Maghyereh et al., 2019; Managi and Okimoto, 2013; Nasreen et al., 2020; Pham, 2021, 2019; Reboredo, 2015; Reboredo et al., 2017; Reboredo and Ugolini, 2018; Saeed et al., 2021; Uddin et al., 2019; Wen et al., 2014)","noteIndex":0},"citationItems":[{"id":75,"uris":["http://zotero.org/users/5823779/items/6WUVSHQH"],"itemData":{"id":75,"type":"article-journal","abstract":"Increasing greenhouse gas emissions, exhaustibility and geo-politics induced price volatility of crude oil has magnified the importance of looking for alternative sources of energy. In this paper, we investigate the long term relationship of stock prices of alternative energy companies with oil prices in a multivariate framework. To this end, we use threshold cointegration tests, which endogenously incorporate possible regime shifts in long run relationship of underlying variables. In contrast to the findings of the previous study by Managi and Okimoto (2013), our results indicate presence of cointegration among the variables with two endogenous structural breaks. This study confirms that ignoring the presence of structural breaks in a long time series data, as has been done in previous study, can produce misleading results. In terms of causality, while the stock prices of alternative energy companies are impacted by technology stock prices, oil prices and interest rates in the short run, there is no causality running towards prices of alternative energy stock prices in the long run. The study discusses the possible reasons behind the empirical findings and concludes with a discussion on short run and long run investment opportunities for the investors.","container-title":"Energy","DOI":"10.1016/j.energy.2016.02.031","ISSN":"0360-5442","journalAbbreviation":"Energy","page":"558-565","source":"ScienceDirect","title":"International crude oil prices and the stock prices of clean energy and technology companies: Evidence from non-linear cointegration tests with unknown structural breaks","title-short":"International crude oil prices and the stock prices of clean energy and technology companies","volume":"101","author":[{"family":"Bondia","given":"Ripsy"},{"family":"Ghosh","given":"Sajal"},{"family":"Kanjilal","given":"Kakali"}],"issued":{"date-parts":[["2016",4,15]]}}},{"id":102,"uris":["http://zotero.org/users/5823779/items/N7RMSEVE"],"itemData":{"id":102,"type":"article-journal","abstract":"Earlier studies evidence that oil price shocks have significant impacts on clean energy stock returns. While the previous literature uses traditional oil price series to investigate such effects, we aim to assess whether the variance of alternative energy stock returns can be explained using the information content of crude oil volatility index (OVX), an indicator of oil price uncertainty. To serve our purpose, we employ several measures to frame the realized volatility (RV) of alternative energy sector equity returns. In particular, we use three different range-based RV estimators recommended by Parkinson (1980), Rogers and Satchell (1991) and Alizadeh et al. (2002) respectively. Our findings reveal that clean energy stock market returns are highly sensitive to OVX shocks. Thus oil market uncertainty, measured by OVX, embodies a crucial role in modeling the volatility of renewable energy equity returns. In addition, we find a strong indication that OVX provides additional information beyond what is contained in the historical volatilities of equity returns. We also document that the magnitude of the effect of OVX is much bigger than that of the realized variance of WTI oil spot prices. Finally, we find that the information content of crude oil volatility index improves the volatility forecasts for the clean energy equity market.","container-title":"Journal of Cleaner Production","DOI":"10.1016/j.jclepro.2017.07.050","ISSN":"0959-6526","journalAbbreviation":"Journal of Cleaner Production","page":"1157-1166","source":"ScienceDirect","title":"Oil price uncertainty and clean energy stock returns: New evidence from crude oil volatility index","title-short":"Oil price uncertainty and clean energy stock returns","volume":"164","author":[{"family":"Dutta","given":"Anupam"}],"issued":{"date-parts":[["2017",10,15]]}}},{"id":36,"uris":["http://zotero.org/users/5823779/items/TLZ3Q3IC"],"itemData":{"id":36,"type":"article-journal","container-title":"Energy","page":"803–810","source":"Google Scholar","title":"Return and volatility linkages between CO2 emission and clean energy stock prices","volume":"164","author":[{"family":"Dutta","given":"Anupam"},{"family":"Bouri","given":"Elie"},{"family":"Noor","given":"Md Hasib"}],"issued":{"date-parts":[["2018"]]}}},{"id":"0sL12rHV/OxAgxQuS","uris":["http://zotero.org/users/5823779/items/YK5UHTQG"],"itemData":{"id":37,"type":"article-journal","container-title":"Energy","page":"544–553","source":"Google Scholar","title":"Gold and crude oil as safe-haven assets for clean energy stock indices: Blended copulas approach","title-short":"Gold and crude oil as safe-haven assets for clean energy stock indices","volume":"178","author":[{"family":"Elie","given":"Bouri"},{"family":"Naji","given":"Jalkh"},{"family":"Dutta","given":"Anupam"},{"family":"Uddin","given":"Gazi Salah"}],"issued":{"date-parts":[["2019"]]}}},{"id":4142,"uris":["http://zotero.org/users/5823779/items/SHQ22PV7"],"itemData":{"id":4142,"type":"article-journal","abstract":"In this study, we examine the potential roles of gold and crude oil as safe-haven assets against extreme down movements in clean energy stock indices. We employ copulas on daily data from November 21st, 2003 to March 30th, 2018 covering two clean energy stock indices, the S&amp;P Global Clean Energy and the WilderHill Clean Energy. Instead of adopting a priori selection of the best copula function based on a single copula, we consider single and mixture copulas to better illustrate the dependence between the pairs of variables under study. We also apply parametric as well as non-parametric tail dependencies measures. Empirical results show that both crude oil and gold are no more than weak safe-haven assets for clean energy indices. However, the superiority of crude oil to gold is evidenced in case of inﬁnitely extreme market movements. This superiority is validated for WilderHill Clean Energy Index but endorsed to gold when examined against Global Clean Energy Index, in extreme market movements.","container-title":"Energy","DOI":"10.1016/j.energy.2019.04.155","ISSN":"03605442","journalAbbreviation":"Energy","language":"en","page":"544-553","source":"DOI.org (Crossref)","title":"Gold and crude oil as safe-haven assets for clean energy stock indices: Blended copulas approach","title-short":"Gold and crude oil as safe-haven assets for clean energy stock indices","volume":"178","author":[{"family":"Elie","given":"Bouri"},{"family":"Naji","given":"Jalkh"},{"family":"Dutta","given":"Anupam"},{"family":"Uddin","given":"Gazi Salah"}],"issued":{"date-parts":[["2019",7]]}}},{"id":2629,"uris":["http://zotero.org/users/5823779/items/SKFAT9YN"],"itemData":{"id":2629,"type":"article-journal","abstract":"This paper examines the time and frequency dynamics of connectedness among stock prices of U.S. clean energy companies, crude oil prices and a number of key financial variables using the methodology developed by Barunik and Krehlik (2018). This approach allows measuring the dynamics of return and volatility connectedness over time and across frequencies simultaneously. The empirical results show that most of return and volatility connectedness is generated in the very short-term, i.e. movements up to five days, while the long-term plays a minor role. Our analysis further reveals a greater degree of interconnectedness across crude oil and financial markets since the onset of the U.S. subprime mortgage crisis in summer of 2007, consistent with the view of a global re-pricing of risk triggered by the recent worldwide financial crisis. Crude oil prices do not appear as a key driver of the stock market performance of renewable energy companies in the short-term or the long-term, which suggests a decoupling of the alternative energy industry from the traditional energy market. Moreover, crude oil prices are a net receiver of financial shocks, supporting the financialization of the commodity markets since the early 2000s. In addition, a significant pairwise connectedness is found, mainly in the short-term, between clean energy and technology stock prices, indicating that these two types of stocks are perceived by investors as similar assets. These results can have important practical implications for investors and policy makers with different time horizons.","container-title":"Energy Economics","DOI":"10.1016/j.eneco.2018.09.022","ISSN":"0140-9883","journalAbbreviation":"Energy Economics","language":"en","page":"1-20","source":"ScienceDirect","title":"Time and frequency dynamics of connectedness between renewable energy stocks and crude oil prices","volume":"76","author":[{"family":"Ferrer","given":"Román"},{"family":"Shahzad","given":"Syed Jawad Hussain"},{"family":"López","given":"Raquel"},{"family":"Jareño","given":"Francisco"}],"issued":{"date-parts":[["2018",10,1]]}}},{"id":3900,"uris":["http://zotero.org/users/5823779/items/KJWXZF56"],"itemData":{"id":3900,"type":"article-journal","abstract":"This study analyses the dynamic impacts of oil price changes on clean energy companies’ stock returns by applying a connectedness network approach based on evidence from the European perspective. The results suggest that although changes in crude oil prices and clean energy stocks returns move towards the same di­ rection, oil returns mainly act as a net information receiver in the crude oil-clean energy nexus system. The dynamic results suggest that information interdependence for crude oil returns and clean energy companies’ returns remains at a relatively high level regardless of time variation. Moreover, there is obvious asymmetry in information connectedness for oil and clean energy companies’ returns, which shows the apparent leverage effect and suggests that the impact of bad news on information connectedness is greater than that of good news. These findings can provide micro insights for new energy policy makers and market participants in clean energy industries.","container-title":"Renewable and Sustainable Energy Reviews","DOI":"10.1016/j.rser.2021.111429","ISSN":"13640321","journalAbbreviation":"Renewable and Sustainable Energy Reviews","language":"en","page":"111429","source":"DOI.org (Crossref)","title":"Do oil price changes really matter for clean energy returns?","volume":"150","author":[{"family":"Geng","given":"Jiang-Bo"},{"family":"Liu","given":"Changyu"},{"family":"Ji","given":"Qiang"},{"family":"Zhang","given":"Dayong"}],"issued":{"date-parts":[["2021",10]]}}},{"id":142,"uris":["http://zotero.org/users/5823779/items/6SWLFQYG"],"itemData":{"id":142,"type":"article-journal","abstract":"Prior studies find that the technology sector and oil prices strongly influence the financial performance of alternative energy firms. The results, however, are country-specific and the role of country-level determinants is yet to be investigated. We argue that economic and societal factors are important in explaining cross-country differences in the financial performance of alternative energy firms. We analyse the financial performance of alternative energy firms using firm-level data from 26 countries. We find that the market rewards alternative energy firms when country-level technology and innovation are well developed. Additionally, we find that national cultural dimensions explain cross-country differences in the financial performance of alternative energy firms.","container-title":"Energy Economics","DOI":"10.1016/j.eneco.2017.05.004","ISSN":"0140-9883","journalAbbreviation":"Energy Economics","page":"172-182","source":"ScienceDirect","title":"Do economic and societal factors influence the financial performance of alternative energy firms?","volume":"65","author":[{"family":"Gupta","given":"Kartick"}],"issued":{"date-parts":[["2017",6,1]]}}},{"id":17,"uris":["http://zotero.org/users/5823779/items/FKC9XFMQ"],"itemData":{"id":17,"type":"article-journal","abstract":"Energy security issues coupled with increased concern over the natural environment are driving factors behind oil price movements. While it is widely accepted that rising oil prices are good for the financial performance of alternative energy companies, there has been relatively little statistical work done to measure just how sensitive the financial performance of alternative energy companies are to changes in oil prices. In this paper, a four variable vector autoregression model is developed and estimated in order to investigate the empirical relationship between alternative energy stock prices, technology stock prices, oil prices, and interest rates. Our results show technology stock prices and oil prices each individually Granger cause the stock prices of alternative energy companies. Simulation results show that a shock to technology stock prices has a larger impact on alternative energy stock prices than does a shock to oil prices. These results should be of use to investors, managers and policy makers.","container-title":"Energy Economics","DOI":"10.1016/j.eneco.2007.11.001","ISSN":"0140-9883","issue":"3","journalAbbreviation":"Energy Economics","page":"998-1010","source":"ScienceDirect","title":"Oil prices and the stock prices of alternative energy companies","volume":"30","author":[{"family":"Henriques","given":"Irene"},{"family":"Sadorsky","given":"Perry"}],"issued":{"date-parts":[["2008",5,1]]}}},{"id":68,"uris":["http://zotero.org/users/5823779/items/K7QZII3C"],"itemData":{"id":68,"type":"article-journal","abstract":"Recent discussions of energy security and climate change have attracted significant attention to clean energy. We hypothesize that rising prices of conventional energy and/or placement of a price on carbon emissions would encourage investments in clean energy firms. The data from three clean energy indices show that oil prices and technology stock prices separately affect the stock prices of clean energy firms. However, the data fail to demonstrate a significant relationship between carbon prices and the stock prices of the firms.","container-title":"Energy Economics","DOI":"10.1016/j.eneco.2011.03.002","ISSN":"0140-9883","issue":"1","journalAbbreviation":"Energy Economics","page":"215-226","source":"ScienceDirect","title":"Stock prices of clean energy firms, oil and carbon markets: A vector autoregressive analysis","title-short":"Stock prices of clean energy firms, oil and carbon markets","volume":"34","author":[{"family":"Kumar","given":"Surender"},{"family":"Managi","given":"Shunsuke"},{"family":"Matsuda","given":"Akimi"}],"issued":{"date-parts":[["2012",1,1]]}}},{"id":3416,"uris":["http://zotero.org/users/5823779/items/GVR5QVA9"],"itemData":{"id":3416,"type":"article-journal","abstract":"The study in the age of the 4th industrial revolution examines the time and frequency domain connectedness and spill-over among Fintech, green bonds, and cryptocurrencies. Using daily data from November 2018 to June 2020, we use both DY (Diebold &amp; Yilmaz, 2012) and BK (Baruník et al., 2017) to examine the volatility connectedness of returns series. The results of DY suggest that, first, the total connectedness of 21st century technology assets and traditional common stocks is very high, and hence in the turbulent economy, there is a high probability of contemporaneous losses. Second, Bitcoin, MSCIW, MSCI US, and KFTX are net contributors of volatility shocks whereas US dollar, oil, gold, VIX, green bond and green bond select are net receivers. Therefore, Fintech and common equities are not good hedging instruments in the same portfolio. Third, the short-term witnesses higher volatility transmission than the long-term. That is, holding assets for a long-term is likely to mitigate risks whereas trading financial assets in the short-term can increase risk because of higher volatility. Fourth, the traditional assets, gold and oil, as well as modern assets, green bonds, are useful as good hedgers compared with other assets because shock transmissions from them to Fintech, KFTX are below 0.1% and, more importantly, the total volatility spill-over of all assets in the sample is moderately average, accounting for 44.39%.","container-title":"Technological Forecasting and Social Change","DOI":"10.1016/j.techfore.2020.120382","ISSN":"0040-1625","journalAbbreviation":"Technological Forecasting and Social Change","language":"en","page":"120382","source":"ScienceDirect","title":"Time and frequency domain connectedness and spill-over among fintech, green bonds and cryptocurrencies in the age of the fourth industrial revolution","volume":"162","author":[{"family":"Le","given":"TN-Lan"},{"family":"Abakah","given":"Emmanuel Joel Aikins"},{"family":"Tiwari","given":"Aviral Kumar"}],"issued":{"date-parts":[["2021",1,1]]}}},{"id":42,"uris":["http://zotero.org/users/5823779/items/N4RLL4T9"],"itemData":{"id":42,"type":"article-journal","container-title":"Energy","page":"895–913","source":"Google Scholar","title":"The co-movement between oil and clean energy stocks: A wavelet-based analysis of horizon associations","title-short":"The co-movement between oil and clean energy stocks","volume":"169","author":[{"family":"Maghyereh","given":"Aktham I."},{"family":"Awartani","given":"Basel"},{"family":"Abdoh","given":"Hussein"}],"issued":{"date-parts":[["2019"]]}}},{"id":65,"uris":["http://zotero.org/users/5823779/items/KRVBURP8"],"itemData":{"id":65,"type":"article-journal","abstract":"In this paper, we analyze the relationships among oil prices, clean energy stock prices, and technology stock prices, endogenously controlling for structural changes in the market. To this end, we apply Markov-switching vector autoregressive models to the economic system consisting of oil prices, clean energy and technology stock prices, and interest rates. The results indicate that there was a structural change in late 2007, a period in which there was a significant increase in the price of oil. In contrast to the previous studies, we find a positive relationship between oil prices and clean energy prices after structural breaks. There also appears to be a similarity in terms of the market response to both clean energy stock prices and technology stock prices.","container-title":"Japan and the World Economy","DOI":"10.1016/j.japwor.2013.03.003","ISSN":"0922-1425","journalAbbreviation":"Japan and the World Economy","page":"1-9","source":"ScienceDirect","title":"Does the price of oil interact with clean energy prices in the stock market?","volume":"27","author":[{"family":"Managi","given":"Shunsuke"},{"family":"Okimoto","given":"Tatsuyoshi"}],"issued":{"date-parts":[["2013",8,1]]}}},{"id":3277,"uris":["http://zotero.org/users/5823779/items/7DSGNMFD"],"itemData":{"id":3277,"type":"article-journal","abstract":"This study employs wavelet coherency, phase differences and spillover analysis to examine the dynamic connectedness between oil prices and stock returns of clean energy and technology companies. Multivariate Generalised Auto-Regressive Conditional Heteroscedasticity models are used to examine the conditional correlations, hedging performance, and to make a portfolio strategy. The wavelet coherency analysis shows a weak degree of association between oil prices and clean energy stock returns and between oil prices and technology companies’ stock returns in time and frequency scales. The phase differences study shows that all series move cyclically, with technology stock returns leading oil prices and stock returns of clean energy companies. Furthermore, the volatility spillovers ﬁndings reveal that the overall connectedness of the system is 0.43%, while the degree of connectedness is greater at lower frequencies (1e4 days) than at higher frequencies (more than 4 days). The results also suggest that the volatility is transmitted from technology companies to oil and clean energy markets at all frequencies and over the whole period. Policy implications and hedging and portfolio options are discussed.","container-title":"Journal of Cleaner Production","DOI":"10.1016/j.jclepro.2020.121015","ISSN":"09596526","journalAbbreviation":"Journal of Cleaner Production","language":"en","page":"121015","source":"DOI.org (Crossref)","title":"Dynamic connectedness between oil prices and stock returns of clean energy and technology companies","volume":"260","author":[{"family":"Nasreen","given":"Samia"},{"family":"Tiwari","given":"Aviral Kumar"},{"family":"Eizaguirre","given":"Juncal Cuñado"},{"family":"Wohar","given":"Mark E."}],"issued":{"date-parts":[["2020",7]]}}},{"id":3287,"uris":["http://zotero.org/users/5823779/items/NM5CMUPF"],"itemData":{"id":3287,"type":"article-journal","abstract":"This paper aims at investigating the frequency connectedness and cross-quantile dependence between green bond and green equity markets. By decomposing green bond and green equity time series data into different frequency bands, we ﬁrst identify how the connectedness between green bond and green equity varies between the short-term, medium-term and long-term investment horizons. Next, we employ a cross-quantilogram framework to investigate the cross-quantile dependence between green bond and green equity and to capture the spillovers between these markets across a wide range of market conditions. Our empirical results suggest that after controlling for movements in the general stock, energy and ﬁxed-income markets, the dependence between green bond and green equity during normal market conditions is relatively small. On the other hand, green bond and green equity are more connected during extreme market movements, where they boom and bust together. We also ﬁnd that across all market conditions, the spillover effects between green bond and green equity are short-lived, as the degree of connectedness dissipates in the medium- and long-term investment horizons. Our results have important implications for environmentally conscious investors and policymakers.","container-title":"Energy Economics","DOI":"10.1016/j.eneco.2021.105257","ISSN":"01409883","journalAbbreviation":"Energy Economics","language":"en","page":"105257","source":"DOI.org (Crossref)","title":"Frequency connectedness and cross-quantile dependence between green bond and green equity markets","volume":"98","author":[{"family":"Pham","given":"Linh"}],"issued":{"date-parts":[["2021",6]]}}},{"id":2158,"uris":["http://zotero.org/users/5823779/items/9KYZ2CQS"],"itemData":{"id":2158,"type":"article-journal","abstract":"This paper investigates whether the relationship between oil price and clean energy stock is homogeneous across sub-sectors of the clean energy stock market and its implications for portfolio diversification and clean energy finance policy. We contribute to the literature by being the first empirical paper to document the oil price-clean energy stock relationship at a disaggregate level, thereby providing a more detailed picture of the clean energy stock market. Our findings show that the relationship between oil price and clean energy stock varies largely across clean energy stock sub-sectors. Specifically, biofuel and energy management stocks are the most connected to oil price, while wind, geothermal, fuel cell stocks are among the least connected to oil price. This implies that the hedging cost and effectiveness of a clean energy investment portfolio is dependent on the type of clean energy stock included, therefore, active portfolio management at a disaggregate level is of particular importance. Additionally, policy should take into account the specific characteristics of individual clean energy sub-sectors in order to effectively promote clean energy investment.","container-title":"Energy Economics","DOI":"10.1016/j.eneco.2019.04.010","ISSN":"0140-9883","journalAbbreviation":"Energy Economics","language":"en","page":"355-379","source":"ScienceDirect","title":"Do all clean energy stocks respond homogeneously to oil price?","volume":"81","author":[{"family":"Pham","given":"Linh"}],"issued":{"date-parts":[["2019",6,1]]}}},{"id":84,"uris":["http://zotero.org/users/5823779/items/DEKAZZPI"],"itemData":{"id":84,"type":"article-journal","abstract":"We study systemic risk and dependence between oil and renewable energy markets using copulas to characterize the dependence structure and to compute the conditional value-at-risk as a measure of systemic risk. We found significant time-varying average and symmetric tail dependence between oil returns and several global and sectoral renewable energy indices. Our evidence on systemic risk indicates that oil price dynamics significantly contributes around 30% to downside and upside risk of renewable energy companies. These results have important implications for risk management and renewable energy policies.","container-title":"Energy Economics","DOI":"10.1016/j.eneco.2014.12.009","ISSN":"0140-9883","journalAbbreviation":"Energy Economics","page":"32-45","source":"ScienceDirect","title":"Is there dependence and systemic risk between oil and renewable energy stock prices?","volume":"48","author":[{"family":"Reboredo","given":"Juan C."}],"issued":{"date-parts":[["2015",3,1]]}}},{"id":115,"uris":["http://zotero.org/users/5823779/items/IUXCGPDV"],"itemData":{"id":115,"type":"article-journal","abstract":"We studied the financial performance of alternative energy mutual funds using multifactor models and propensity score matching techniques. For a sample of alternative energy mutual funds quoted in EUR and in USD for the period 2010–2016, we found that alternative energy funds underperformed corporate and socially responsible mutual funds in terms of returns and downside risk protection. Our results are consistent with the idea that investors are paying a premium for going green via renewable energies.","container-title":"Renewable and Sustainable Energy Reviews","DOI":"10.1016/j.rser.2017.01.158","ISSN":"1364-0321","journalAbbreviation":"Renewable and Sustainable Energy Reviews","page":"512-520","source":"ScienceDirect","title":"Do investors pay a premium for going green? Evidence from alternative energy mutual funds","title-short":"Do investors pay a premium for going green?","volume":"73","author":[{"family":"Reboredo","given":"Juan C."},{"family":"Quintela","given":"Miguel"},{"family":"Otero","given":"Luis A."}],"issued":{"date-parts":[["2017",6,1]]}}},{"id":128,"uris":["http://zotero.org/users/5823779/items/Y3TUZN9C"],"itemData":{"id":128,"type":"article-journal","abstract":"We assess the impact of quantile price movements in oil, gas, coal and electricity on the quantiles of clean energy stock returns using a multivariate vine-copula dependence setup. For the period 2009–2016, our evidence shows that oil and electricity prices were major contributors to the dynamics of clean energy stock returns in the USA and the EU, respectively, whereas the other energy prices played a minor role in shaping clean energy stock returns. Furthermore, we find evidence of a symmetric energy price impact, so extreme upward and downward energy price movements had a similar impact on clean energy stock returns. This evidence has potential implications for risk management decision making by energy investors and for policy maker decisions regarding support for clean energy deployment.","container-title":"Energy Economics","DOI":"10.1016/j.eneco.2018.10.012","ISSN":"0140-9883","journalAbbreviation":"Energy Economics","page":"136-152","source":"ScienceDirect","title":"The impact of energy prices on clean energy stock prices. A multivariate quantile dependence approach","volume":"76","author":[{"family":"Reboredo","given":"Juan C."},{"family":"Ugolini","given":"Andrea"}],"issued":{"date-parts":[["2018",10,1]]}}},{"id":3275,"uris":["http://zotero.org/users/5823779/items/8Z7CGMDT"],"itemData":{"id":3275,"type":"article-journal","abstract":"Previous studies point to the time-variation and asymmetry in the relationship between clean energy stocks and crude oil markets, but there is a lack of evidence on the return spillovers between clean/green assets and dirty energy assets (crude oil and energy ETF) in lower and upper quantiles, and their potential drivers. To address these gaps, we apply quantile-based estimators to measure return connectedness at left and right tails of the conditional distribution of return shocks. We ﬁnd that the average level of return connectedness estimated at the mean/median is 29%, whereas it reaches 65% when estimated at the left and right tails. Thus, return connectedness across clean energy stocks, green bonds, crude oil, and energy ETF is larger at both left and right tails, implying that the unsuitability of applying mean-based connectedness measures. Furthermore, we show that return connectedness measures vary with time, but they are less volatile in the tails. Notably, return connectedness differs between periods of extreme negative returns and periods of extreme negative returns, suggesting an asymmetric behaviour. An analysis of the drivers of the return connectedness shows the importance of macroeconomic conditions, especially at middle and lower quantiles. US dollar has a positive impact in all cases, whereas the crude oil market uncertainty intensiﬁes the return spillovers at the lower quantile.","container-title":"Energy Economics","DOI":"10.1016/j.eneco.2020.105017","ISSN":"01409883","journalAbbreviation":"Energy Economics","language":"en","page":"105017","source":"DOI.org (Crossref)","title":"Extreme return connectedness and its determinants between clean/green and dirty energy investments","volume":"96","author":[{"family":"Saeed","given":"Tareq"},{"family":"Bouri","given":"Elie"},{"family":"Alsulami","given":"Hamed"}],"issued":{"date-parts":[["2021",4]]}}},{"id":30,"uris":["http://zotero.org/users/5823779/items/NMGV7X6J"],"itemData":{"id":30,"type":"article-journal","abstract":"We study the cross-quantile dependence of renewable energy (RE) stock returns on aggregate stock returns, changes in oil and gold prices, and exchange rates. Applying a recently developed cross-quantilogram approach, we provide two novel findings. First, although prior studies show that RE stock returns have a positive dependence on changes in oil prices and in the aggregate stock index, we find that the relationship is not symmetric across quantiles and that this asymmetry is higher in longer lags. Second, while the extant literature provides evidence that exchange rates and gold returns exert a positive influence on aggregate stock returns, we report that this positive influence on RE stock returns is observed only during extreme market conditions. These results are robust, (i) even after controlling for economic policy and equity market uncertainties, as well as (ii) in both a time-static full sample and recursive subsamples.","container-title":"Energy Economics","DOI":"10.1016/j.eneco.2019.02.014","ISSN":"0140-9883","journalAbbreviation":"Energy Economics","page":"743-759","source":"ScienceDirect","title":"Cross-quantilogram-based correlation and dependence between renewable energy stock and other asset classes","volume":"80","author":[{"family":"Uddin","given":"Gazi Salah"},{"family":"Rahman","given":"Md Lutfur"},{"family":"Hedström","given":"Axel"},{"family":"Ahmed","given":"Ali"}],"issued":{"date-parts":[["2019",5,1]]}}},{"id":78,"uris":["http://zotero.org/users/5823779/items/PGSUR9BE"],"itemData":{"id":78,"type":"article-journal","abstract":"This study documents the return and volatility spillover effect between the stock prices of Chinese new energy and fossil fuel companies using the asymmetric BEKK model. Based on daily samples taken from August 30, 2006 to September 11, 2012, the dynamics of new energy/fossil fuel stock spillover are found to be significant and asymmetric. Compared with positive news, negative news about new energy and fossil fuel stock returns leads to larger return changes in their counter assets. News about both new energy and fossil fuel stock returns spills over into variances of their counter assets, and the volatility spillovers depend complexly on the respective signs of the return shocks of each asset. The empirical results demonstrate that new energy and fossil fuel stocks are generally viewed as competing assets, that positive news about new energy stocks could affect the attractiveness of fossil fuel stocks and that new energy stock investment is more speculative and riskier than fossil fuel stock investment. These results have potential implications for asset allocation, financial risk management and energy policymaking.","container-title":"Energy Economics","DOI":"10.1016/j.eneco.2013.10.018","ISSN":"0140-9883","journalAbbreviation":"Energy Economics","page":"63-75","source":"ScienceDirect","title":"How do the stock prices of new energy and fossil fuel companies correlate? Evidence from China","title-short":"How do the stock prices of new energy and fossil fuel companies correlate?","volume":"41","author":[{"family":"Wen","given":"Xiaoqian"},{"family":"Guo","given":"Yanfeng"},{"family":"Wei","given":"Yu"},{"family":"Huang","given":"Dengshi"}],"issued":{"date-parts":[["2014",1,1]]}}}],"schema":"https://github.com/citation-style-language/schema/raw/master/csl-citation.json"} </w:instrText>
      </w:r>
      <w:r w:rsidR="002260BC" w:rsidRPr="002260BC">
        <w:rPr>
          <w:rFonts w:ascii="Times New Roman" w:hAnsi="Times New Roman" w:cs="Times New Roman"/>
          <w:sz w:val="24"/>
          <w:szCs w:val="24"/>
        </w:rPr>
        <w:fldChar w:fldCharType="separate"/>
      </w:r>
      <w:r w:rsidR="00233467" w:rsidRPr="00233467">
        <w:rPr>
          <w:rFonts w:ascii="Times New Roman" w:hAnsi="Times New Roman" w:cs="Times New Roman"/>
          <w:sz w:val="24"/>
        </w:rPr>
        <w:t>(Bondia et al., 2016; Dutta, 2017; Dutta et al., 2018; Elie et al., 2019a, 2019b; Ferrer et al., 2018; Geng et al., 2021; Gupta, 2017; Henriques and Sadorsky, 2008; Kumar et al., 2012; Le et al., 2021; Maghyereh et al., 2019; Managi and Okimoto, 2013; Nasreen et al., 2020; Pham, 2021, 2019; Reboredo, 2015; Reboredo et al., 2017; Reboredo and Ugolini, 2018; Saeed et al., 2021; Uddin et al., 2019; Wen et al., 2014)</w:t>
      </w:r>
      <w:r w:rsidR="002260BC" w:rsidRPr="002260BC">
        <w:rPr>
          <w:rFonts w:ascii="Times New Roman" w:hAnsi="Times New Roman" w:cs="Times New Roman"/>
          <w:sz w:val="24"/>
          <w:szCs w:val="24"/>
        </w:rPr>
        <w:fldChar w:fldCharType="end"/>
      </w:r>
      <w:r w:rsidR="002260BC" w:rsidRPr="002260BC">
        <w:rPr>
          <w:rFonts w:ascii="Times New Roman" w:hAnsi="Times New Roman" w:cs="Times New Roman"/>
          <w:sz w:val="24"/>
          <w:szCs w:val="24"/>
        </w:rPr>
        <w:t xml:space="preserve">. </w:t>
      </w:r>
      <w:r w:rsidR="00BA4004">
        <w:rPr>
          <w:rFonts w:ascii="Times New Roman" w:hAnsi="Times New Roman" w:cs="Times New Roman"/>
          <w:sz w:val="24"/>
          <w:szCs w:val="24"/>
        </w:rPr>
        <w:t>T</w:t>
      </w:r>
      <w:r w:rsidR="004A5AC4">
        <w:rPr>
          <w:rFonts w:ascii="Times New Roman" w:hAnsi="Times New Roman" w:cs="Times New Roman"/>
          <w:sz w:val="24"/>
          <w:szCs w:val="24"/>
        </w:rPr>
        <w:t>his</w:t>
      </w:r>
      <w:r w:rsidR="000D3A30">
        <w:rPr>
          <w:rFonts w:ascii="Times New Roman" w:hAnsi="Times New Roman" w:cs="Times New Roman"/>
          <w:sz w:val="24"/>
          <w:szCs w:val="24"/>
        </w:rPr>
        <w:t xml:space="preserve"> </w:t>
      </w:r>
      <w:r w:rsidR="00BA4004">
        <w:rPr>
          <w:rFonts w:ascii="Times New Roman" w:hAnsi="Times New Roman" w:cs="Times New Roman"/>
          <w:sz w:val="24"/>
          <w:szCs w:val="24"/>
        </w:rPr>
        <w:t xml:space="preserve">research </w:t>
      </w:r>
      <w:r w:rsidR="00BB44C7">
        <w:rPr>
          <w:rFonts w:ascii="Times New Roman" w:hAnsi="Times New Roman" w:cs="Times New Roman"/>
          <w:sz w:val="24"/>
          <w:szCs w:val="24"/>
        </w:rPr>
        <w:t xml:space="preserve">shows </w:t>
      </w:r>
      <w:r w:rsidR="00BA4004">
        <w:rPr>
          <w:rFonts w:ascii="Times New Roman" w:hAnsi="Times New Roman" w:cs="Times New Roman"/>
          <w:sz w:val="24"/>
          <w:szCs w:val="24"/>
        </w:rPr>
        <w:t xml:space="preserve">that oil prices and </w:t>
      </w:r>
      <w:r w:rsidR="00934436">
        <w:rPr>
          <w:rFonts w:ascii="Times New Roman" w:hAnsi="Times New Roman" w:cs="Times New Roman"/>
          <w:sz w:val="24"/>
          <w:szCs w:val="24"/>
        </w:rPr>
        <w:t xml:space="preserve">the prices of </w:t>
      </w:r>
      <w:r w:rsidR="00BA4004">
        <w:rPr>
          <w:rFonts w:ascii="Times New Roman" w:hAnsi="Times New Roman" w:cs="Times New Roman"/>
          <w:sz w:val="24"/>
          <w:szCs w:val="24"/>
        </w:rPr>
        <w:t>technology stock</w:t>
      </w:r>
      <w:r w:rsidR="00934436">
        <w:rPr>
          <w:rFonts w:ascii="Times New Roman" w:hAnsi="Times New Roman" w:cs="Times New Roman"/>
          <w:sz w:val="24"/>
          <w:szCs w:val="24"/>
        </w:rPr>
        <w:t>s</w:t>
      </w:r>
      <w:r w:rsidR="00BA4004">
        <w:rPr>
          <w:rFonts w:ascii="Times New Roman" w:hAnsi="Times New Roman" w:cs="Times New Roman"/>
          <w:sz w:val="24"/>
          <w:szCs w:val="24"/>
        </w:rPr>
        <w:t xml:space="preserve"> </w:t>
      </w:r>
      <w:r w:rsidR="004A5AC4">
        <w:rPr>
          <w:rFonts w:ascii="Times New Roman" w:hAnsi="Times New Roman" w:cs="Times New Roman"/>
          <w:sz w:val="24"/>
          <w:szCs w:val="24"/>
        </w:rPr>
        <w:t>affect</w:t>
      </w:r>
      <w:r w:rsidR="00BA4004">
        <w:rPr>
          <w:rFonts w:ascii="Times New Roman" w:hAnsi="Times New Roman" w:cs="Times New Roman"/>
          <w:sz w:val="24"/>
          <w:szCs w:val="24"/>
        </w:rPr>
        <w:t xml:space="preserve"> clean energy stock prices</w:t>
      </w:r>
      <w:r w:rsidR="00997523">
        <w:rPr>
          <w:rFonts w:ascii="Times New Roman" w:hAnsi="Times New Roman" w:cs="Times New Roman"/>
          <w:sz w:val="24"/>
          <w:szCs w:val="24"/>
        </w:rPr>
        <w:t xml:space="preserve"> while the impact of economic policy uncertainty on clean energy stock prices </w:t>
      </w:r>
      <w:r w:rsidR="00997523">
        <w:rPr>
          <w:rFonts w:ascii="Times New Roman" w:hAnsi="Times New Roman" w:cs="Times New Roman"/>
          <w:sz w:val="24"/>
          <w:szCs w:val="24"/>
        </w:rPr>
        <w:lastRenderedPageBreak/>
        <w:t>is mixed</w:t>
      </w:r>
      <w:r w:rsidR="00BA4004">
        <w:rPr>
          <w:rFonts w:ascii="Times New Roman" w:hAnsi="Times New Roman" w:cs="Times New Roman"/>
          <w:sz w:val="24"/>
          <w:szCs w:val="24"/>
        </w:rPr>
        <w:t xml:space="preserve">. </w:t>
      </w:r>
      <w:r w:rsidR="004A5AC4">
        <w:rPr>
          <w:rFonts w:ascii="Times New Roman" w:hAnsi="Times New Roman" w:cs="Times New Roman"/>
          <w:sz w:val="24"/>
          <w:szCs w:val="24"/>
        </w:rPr>
        <w:t>H</w:t>
      </w:r>
      <w:r w:rsidRPr="00FE6626">
        <w:rPr>
          <w:rFonts w:ascii="Times New Roman" w:hAnsi="Times New Roman" w:cs="Times New Roman"/>
          <w:sz w:val="24"/>
          <w:szCs w:val="24"/>
        </w:rPr>
        <w:t xml:space="preserve">owever, forecasting </w:t>
      </w:r>
      <w:r w:rsidR="00934436">
        <w:rPr>
          <w:rFonts w:ascii="Times New Roman" w:hAnsi="Times New Roman" w:cs="Times New Roman"/>
          <w:sz w:val="24"/>
          <w:szCs w:val="24"/>
        </w:rPr>
        <w:t xml:space="preserve">the prices of </w:t>
      </w:r>
      <w:r w:rsidR="00470DB1">
        <w:rPr>
          <w:rFonts w:ascii="Times New Roman" w:hAnsi="Times New Roman" w:cs="Times New Roman"/>
          <w:sz w:val="24"/>
          <w:szCs w:val="24"/>
        </w:rPr>
        <w:t>clean energy stock</w:t>
      </w:r>
      <w:r w:rsidR="00934436">
        <w:rPr>
          <w:rFonts w:ascii="Times New Roman" w:hAnsi="Times New Roman" w:cs="Times New Roman"/>
          <w:sz w:val="24"/>
          <w:szCs w:val="24"/>
        </w:rPr>
        <w:t xml:space="preserve">s </w:t>
      </w:r>
      <w:r w:rsidR="004A5AC4">
        <w:rPr>
          <w:rFonts w:ascii="Times New Roman" w:hAnsi="Times New Roman" w:cs="Times New Roman"/>
          <w:sz w:val="24"/>
          <w:szCs w:val="24"/>
        </w:rPr>
        <w:t>is a topic that is understudied</w:t>
      </w:r>
      <w:r w:rsidRPr="00FE6626">
        <w:rPr>
          <w:rFonts w:ascii="Times New Roman" w:hAnsi="Times New Roman" w:cs="Times New Roman"/>
          <w:sz w:val="24"/>
          <w:szCs w:val="24"/>
        </w:rPr>
        <w:t xml:space="preserve">. </w:t>
      </w:r>
      <w:r w:rsidR="00A22396">
        <w:rPr>
          <w:rFonts w:ascii="Times New Roman" w:hAnsi="Times New Roman" w:cs="Times New Roman"/>
          <w:sz w:val="24"/>
          <w:szCs w:val="24"/>
        </w:rPr>
        <w:t xml:space="preserve">Forecasting clean energy equity prices is </w:t>
      </w:r>
      <w:r w:rsidR="004A5AC4">
        <w:rPr>
          <w:rFonts w:ascii="Times New Roman" w:hAnsi="Times New Roman" w:cs="Times New Roman"/>
          <w:sz w:val="24"/>
          <w:szCs w:val="24"/>
        </w:rPr>
        <w:t>imperative</w:t>
      </w:r>
      <w:r w:rsidR="00A22396">
        <w:rPr>
          <w:rFonts w:ascii="Times New Roman" w:hAnsi="Times New Roman" w:cs="Times New Roman"/>
          <w:sz w:val="24"/>
          <w:szCs w:val="24"/>
        </w:rPr>
        <w:t xml:space="preserve"> </w:t>
      </w:r>
      <w:r w:rsidR="00D23B39">
        <w:rPr>
          <w:rFonts w:ascii="Times New Roman" w:hAnsi="Times New Roman" w:cs="Times New Roman"/>
          <w:sz w:val="24"/>
          <w:szCs w:val="24"/>
        </w:rPr>
        <w:t xml:space="preserve">for making well informed investment decisions about this asset class. </w:t>
      </w:r>
      <w:r w:rsidR="004A5AC4">
        <w:rPr>
          <w:rFonts w:ascii="Times New Roman" w:hAnsi="Times New Roman" w:cs="Times New Roman"/>
          <w:sz w:val="24"/>
          <w:szCs w:val="24"/>
        </w:rPr>
        <w:t>This raises several important questions</w:t>
      </w:r>
      <w:r w:rsidR="00C63C7C">
        <w:rPr>
          <w:rFonts w:ascii="Times New Roman" w:hAnsi="Times New Roman" w:cs="Times New Roman"/>
          <w:sz w:val="24"/>
          <w:szCs w:val="24"/>
        </w:rPr>
        <w:t>. Wh</w:t>
      </w:r>
      <w:r w:rsidR="004A5AC4">
        <w:rPr>
          <w:rFonts w:ascii="Times New Roman" w:hAnsi="Times New Roman" w:cs="Times New Roman"/>
          <w:sz w:val="24"/>
          <w:szCs w:val="24"/>
        </w:rPr>
        <w:t>ich</w:t>
      </w:r>
      <w:r w:rsidR="00C63C7C">
        <w:rPr>
          <w:rFonts w:ascii="Times New Roman" w:hAnsi="Times New Roman" w:cs="Times New Roman"/>
          <w:sz w:val="24"/>
          <w:szCs w:val="24"/>
        </w:rPr>
        <w:t xml:space="preserve"> </w:t>
      </w:r>
      <w:r w:rsidR="00181988">
        <w:rPr>
          <w:rFonts w:ascii="Times New Roman" w:hAnsi="Times New Roman" w:cs="Times New Roman"/>
          <w:sz w:val="24"/>
          <w:szCs w:val="24"/>
        </w:rPr>
        <w:t xml:space="preserve">forecasting </w:t>
      </w:r>
      <w:r w:rsidR="00C63C7C">
        <w:rPr>
          <w:rFonts w:ascii="Times New Roman" w:hAnsi="Times New Roman" w:cs="Times New Roman"/>
          <w:sz w:val="24"/>
          <w:szCs w:val="24"/>
        </w:rPr>
        <w:t xml:space="preserve">methods </w:t>
      </w:r>
      <w:r w:rsidR="004A5AC4">
        <w:rPr>
          <w:rFonts w:ascii="Times New Roman" w:hAnsi="Times New Roman" w:cs="Times New Roman"/>
          <w:sz w:val="24"/>
          <w:szCs w:val="24"/>
        </w:rPr>
        <w:t xml:space="preserve">are the best </w:t>
      </w:r>
      <w:r w:rsidR="00C63C7C">
        <w:rPr>
          <w:rFonts w:ascii="Times New Roman" w:hAnsi="Times New Roman" w:cs="Times New Roman"/>
          <w:sz w:val="24"/>
          <w:szCs w:val="24"/>
        </w:rPr>
        <w:t xml:space="preserve">to use?  </w:t>
      </w:r>
      <w:r w:rsidR="00470DB1">
        <w:rPr>
          <w:rFonts w:ascii="Times New Roman" w:hAnsi="Times New Roman" w:cs="Times New Roman"/>
          <w:sz w:val="24"/>
          <w:szCs w:val="24"/>
        </w:rPr>
        <w:t xml:space="preserve">How important are </w:t>
      </w:r>
      <w:r w:rsidR="004D483C">
        <w:rPr>
          <w:rFonts w:ascii="Times New Roman" w:hAnsi="Times New Roman" w:cs="Times New Roman"/>
          <w:sz w:val="24"/>
          <w:szCs w:val="24"/>
        </w:rPr>
        <w:t xml:space="preserve">market </w:t>
      </w:r>
      <w:r w:rsidR="00470DB1">
        <w:rPr>
          <w:rFonts w:ascii="Times New Roman" w:hAnsi="Times New Roman" w:cs="Times New Roman"/>
          <w:sz w:val="24"/>
          <w:szCs w:val="24"/>
        </w:rPr>
        <w:t xml:space="preserve">volatility and </w:t>
      </w:r>
      <w:r w:rsidR="00611E21">
        <w:rPr>
          <w:rFonts w:ascii="Times New Roman" w:hAnsi="Times New Roman" w:cs="Times New Roman"/>
          <w:sz w:val="24"/>
          <w:szCs w:val="24"/>
        </w:rPr>
        <w:t xml:space="preserve">economic policy </w:t>
      </w:r>
      <w:r w:rsidR="00470DB1">
        <w:rPr>
          <w:rFonts w:ascii="Times New Roman" w:hAnsi="Times New Roman" w:cs="Times New Roman"/>
          <w:sz w:val="24"/>
          <w:szCs w:val="24"/>
        </w:rPr>
        <w:t>uncertainty</w:t>
      </w:r>
      <w:r w:rsidR="00611E21">
        <w:rPr>
          <w:rFonts w:ascii="Times New Roman" w:hAnsi="Times New Roman" w:cs="Times New Roman"/>
          <w:sz w:val="24"/>
          <w:szCs w:val="24"/>
        </w:rPr>
        <w:t xml:space="preserve"> (EPU)</w:t>
      </w:r>
      <w:r w:rsidR="00470DB1">
        <w:rPr>
          <w:rFonts w:ascii="Times New Roman" w:hAnsi="Times New Roman" w:cs="Times New Roman"/>
          <w:sz w:val="24"/>
          <w:szCs w:val="24"/>
        </w:rPr>
        <w:t xml:space="preserve"> for predicting clean energy stock prices</w:t>
      </w:r>
      <w:r w:rsidR="00C63C7C">
        <w:rPr>
          <w:rFonts w:ascii="Times New Roman" w:hAnsi="Times New Roman" w:cs="Times New Roman"/>
          <w:sz w:val="24"/>
          <w:szCs w:val="24"/>
        </w:rPr>
        <w:t xml:space="preserve">? </w:t>
      </w:r>
      <w:r w:rsidR="00EF39A0">
        <w:rPr>
          <w:rFonts w:ascii="Times New Roman" w:hAnsi="Times New Roman" w:cs="Times New Roman"/>
          <w:sz w:val="24"/>
          <w:szCs w:val="24"/>
        </w:rPr>
        <w:t xml:space="preserve">Does variable importance change across the forecast horizon? </w:t>
      </w:r>
      <w:r w:rsidR="00C63C7C">
        <w:rPr>
          <w:rFonts w:ascii="Times New Roman" w:hAnsi="Times New Roman" w:cs="Times New Roman"/>
          <w:sz w:val="24"/>
          <w:szCs w:val="24"/>
        </w:rPr>
        <w:t xml:space="preserve">These are the questions that this paper addresses. </w:t>
      </w:r>
    </w:p>
    <w:p w14:paraId="76922730" w14:textId="34D8668B" w:rsidR="00997523" w:rsidRDefault="00682B66" w:rsidP="00EC0FBB">
      <w:pPr>
        <w:spacing w:line="480" w:lineRule="auto"/>
        <w:rPr>
          <w:rFonts w:ascii="Times New Roman" w:hAnsi="Times New Roman" w:cs="Times New Roman"/>
          <w:sz w:val="24"/>
          <w:szCs w:val="24"/>
        </w:rPr>
      </w:pPr>
      <w:r>
        <w:rPr>
          <w:rFonts w:ascii="Times New Roman" w:hAnsi="Times New Roman" w:cs="Times New Roman"/>
          <w:sz w:val="24"/>
          <w:szCs w:val="24"/>
        </w:rPr>
        <w:tab/>
      </w:r>
      <w:r w:rsidR="004A7015">
        <w:rPr>
          <w:rFonts w:ascii="Times New Roman" w:hAnsi="Times New Roman" w:cs="Times New Roman"/>
          <w:sz w:val="24"/>
          <w:szCs w:val="24"/>
        </w:rPr>
        <w:t xml:space="preserve">In answering these questions, the following approach is </w:t>
      </w:r>
      <w:r w:rsidR="007F5B41">
        <w:rPr>
          <w:rFonts w:ascii="Times New Roman" w:hAnsi="Times New Roman" w:cs="Times New Roman"/>
          <w:sz w:val="24"/>
          <w:szCs w:val="24"/>
        </w:rPr>
        <w:t>followed</w:t>
      </w:r>
      <w:r w:rsidR="004A7015">
        <w:rPr>
          <w:rFonts w:ascii="Times New Roman" w:hAnsi="Times New Roman" w:cs="Times New Roman"/>
          <w:sz w:val="24"/>
          <w:szCs w:val="24"/>
        </w:rPr>
        <w:t xml:space="preserve">. </w:t>
      </w:r>
      <w:r w:rsidR="00FE6626" w:rsidRPr="00FE6626">
        <w:rPr>
          <w:rFonts w:ascii="Times New Roman" w:hAnsi="Times New Roman" w:cs="Times New Roman"/>
          <w:sz w:val="24"/>
          <w:szCs w:val="24"/>
        </w:rPr>
        <w:t xml:space="preserve">First, this paper </w:t>
      </w:r>
      <w:r w:rsidR="004A7015">
        <w:rPr>
          <w:rFonts w:ascii="Times New Roman" w:hAnsi="Times New Roman" w:cs="Times New Roman"/>
          <w:sz w:val="24"/>
          <w:szCs w:val="24"/>
        </w:rPr>
        <w:t xml:space="preserve">focusses on predicting </w:t>
      </w:r>
      <w:r w:rsidR="00B65AD3">
        <w:rPr>
          <w:rFonts w:ascii="Times New Roman" w:hAnsi="Times New Roman" w:cs="Times New Roman"/>
          <w:sz w:val="24"/>
          <w:szCs w:val="24"/>
        </w:rPr>
        <w:t xml:space="preserve">the direction of </w:t>
      </w:r>
      <w:r w:rsidR="004A7015">
        <w:rPr>
          <w:rFonts w:ascii="Times New Roman" w:hAnsi="Times New Roman" w:cs="Times New Roman"/>
          <w:sz w:val="24"/>
          <w:szCs w:val="24"/>
        </w:rPr>
        <w:t>clean energy stock price</w:t>
      </w:r>
      <w:r w:rsidR="005D4FA0">
        <w:rPr>
          <w:rFonts w:ascii="Times New Roman" w:hAnsi="Times New Roman" w:cs="Times New Roman"/>
          <w:sz w:val="24"/>
          <w:szCs w:val="24"/>
        </w:rPr>
        <w:t>s</w:t>
      </w:r>
      <w:r w:rsidR="004A7015">
        <w:rPr>
          <w:rFonts w:ascii="Times New Roman" w:hAnsi="Times New Roman" w:cs="Times New Roman"/>
          <w:sz w:val="24"/>
          <w:szCs w:val="24"/>
        </w:rPr>
        <w:t xml:space="preserve">. </w:t>
      </w:r>
      <w:r w:rsidR="00514124">
        <w:rPr>
          <w:rFonts w:ascii="Times New Roman" w:hAnsi="Times New Roman" w:cs="Times New Roman"/>
          <w:sz w:val="24"/>
          <w:szCs w:val="24"/>
        </w:rPr>
        <w:t xml:space="preserve">In practice, </w:t>
      </w:r>
      <w:r w:rsidR="003919DA">
        <w:rPr>
          <w:rFonts w:ascii="Times New Roman" w:hAnsi="Times New Roman" w:cs="Times New Roman"/>
          <w:sz w:val="24"/>
          <w:szCs w:val="24"/>
        </w:rPr>
        <w:t xml:space="preserve">investors </w:t>
      </w:r>
      <w:r w:rsidR="00D57A88" w:rsidRPr="00535A0C">
        <w:rPr>
          <w:rFonts w:ascii="Times New Roman" w:hAnsi="Times New Roman" w:cs="Times New Roman"/>
          <w:sz w:val="24"/>
          <w:szCs w:val="24"/>
        </w:rPr>
        <w:t xml:space="preserve">are </w:t>
      </w:r>
      <w:r w:rsidR="00D57A88">
        <w:rPr>
          <w:rFonts w:ascii="Times New Roman" w:hAnsi="Times New Roman" w:cs="Times New Roman"/>
          <w:sz w:val="24"/>
          <w:szCs w:val="24"/>
        </w:rPr>
        <w:t xml:space="preserve">more </w:t>
      </w:r>
      <w:r w:rsidR="00D57A88" w:rsidRPr="00535A0C">
        <w:rPr>
          <w:rFonts w:ascii="Times New Roman" w:hAnsi="Times New Roman" w:cs="Times New Roman"/>
          <w:sz w:val="24"/>
          <w:szCs w:val="24"/>
        </w:rPr>
        <w:t xml:space="preserve">interested in the </w:t>
      </w:r>
      <w:r w:rsidR="003919DA">
        <w:rPr>
          <w:rFonts w:ascii="Times New Roman" w:hAnsi="Times New Roman" w:cs="Times New Roman"/>
          <w:sz w:val="24"/>
          <w:szCs w:val="24"/>
        </w:rPr>
        <w:t>direction of asset price</w:t>
      </w:r>
      <w:r w:rsidR="00896D74">
        <w:rPr>
          <w:rFonts w:ascii="Times New Roman" w:hAnsi="Times New Roman" w:cs="Times New Roman"/>
          <w:sz w:val="24"/>
          <w:szCs w:val="24"/>
        </w:rPr>
        <w:t>s</w:t>
      </w:r>
      <w:r w:rsidR="00D57A88" w:rsidRPr="00535A0C">
        <w:rPr>
          <w:rFonts w:ascii="Times New Roman" w:hAnsi="Times New Roman" w:cs="Times New Roman"/>
          <w:sz w:val="24"/>
          <w:szCs w:val="24"/>
        </w:rPr>
        <w:t xml:space="preserve"> rather than the actual value</w:t>
      </w:r>
      <w:r w:rsidR="00896D74">
        <w:rPr>
          <w:rFonts w:ascii="Times New Roman" w:hAnsi="Times New Roman" w:cs="Times New Roman"/>
          <w:sz w:val="24"/>
          <w:szCs w:val="24"/>
        </w:rPr>
        <w:t>s</w:t>
      </w:r>
      <w:r w:rsidR="00D57A88" w:rsidRPr="00535A0C">
        <w:rPr>
          <w:rFonts w:ascii="Times New Roman" w:hAnsi="Times New Roman" w:cs="Times New Roman"/>
          <w:sz w:val="24"/>
          <w:szCs w:val="24"/>
        </w:rPr>
        <w:t xml:space="preserve"> when determining asset allocation </w:t>
      </w:r>
      <w:r w:rsidR="00D57A88" w:rsidRPr="00535A0C">
        <w:rPr>
          <w:rFonts w:ascii="Times New Roman" w:hAnsi="Times New Roman" w:cs="Times New Roman"/>
          <w:sz w:val="24"/>
          <w:szCs w:val="24"/>
        </w:rPr>
        <w:fldChar w:fldCharType="begin"/>
      </w:r>
      <w:r w:rsidR="002A666A">
        <w:rPr>
          <w:rFonts w:ascii="Times New Roman" w:hAnsi="Times New Roman" w:cs="Times New Roman"/>
          <w:sz w:val="24"/>
          <w:szCs w:val="24"/>
        </w:rPr>
        <w:instrText xml:space="preserve"> ADDIN ZOTERO_ITEM CSL_CITATION {"citationID":"NKXTVnio","properties":{"formattedCitation":"(Pesaran and Timmermann, 2002)","plainCitation":"(Pesaran and Timmermann, 2002)","noteIndex":0},"citationItems":[{"id":3585,"uris":["http://zotero.org/users/5823779/items/XE67YY5T"],"itemData":{"id":3585,"type":"article-journal","abstract":"Despite mounting empirical evidence to the contrary, the literature on predictability of stock returns almost uniformly assumes a time-invariant relationship between state variables and returns. In this paper, we propose a two-stage approach for forecasting of financial return series that are subject to breaks. The first stage adopts a reversed ordered Cusum (ROC) procedure to determine in real time when the most recent break has occurred. In the second stage, post-break data is used to estimate the parameters of the forecasting model. We compare this approach to existing alternatives for dealing with parameter instability such as the Bai–Perron method and the time-varying parameter (TVP) model. An out-of-sample forecasting experiment demonstrates considerable gains in market timing precision from adopting the proposed two-stage forecasting method.","container-title":"Journal of Empirical Finance","DOI":"10.1016/S0927-5398(02)00007-5","ISSN":"0927-5398","issue":"5","journalAbbreviation":"Journal of Empirical Finance","language":"en","page":"495-510","source":"ScienceDirect","title":"Market timing and return prediction under model instability","volume":"9","author":[{"family":"Pesaran","given":"M. Hashem"},{"family":"Timmermann","given":"Allan"}],"issued":{"date-parts":[["2002",12,1]]}}}],"schema":"https://github.com/citation-style-language/schema/raw/master/csl-citation.json"} </w:instrText>
      </w:r>
      <w:r w:rsidR="00D57A88" w:rsidRPr="00535A0C">
        <w:rPr>
          <w:rFonts w:ascii="Times New Roman" w:hAnsi="Times New Roman" w:cs="Times New Roman"/>
          <w:sz w:val="24"/>
          <w:szCs w:val="24"/>
        </w:rPr>
        <w:fldChar w:fldCharType="separate"/>
      </w:r>
      <w:r w:rsidR="00F31A70" w:rsidRPr="00F31A70">
        <w:rPr>
          <w:rFonts w:ascii="Times New Roman" w:hAnsi="Times New Roman" w:cs="Times New Roman"/>
          <w:sz w:val="24"/>
        </w:rPr>
        <w:t>(Pesaran and Timmermann, 2002)</w:t>
      </w:r>
      <w:r w:rsidR="00D57A88" w:rsidRPr="00535A0C">
        <w:rPr>
          <w:rFonts w:ascii="Times New Roman" w:hAnsi="Times New Roman" w:cs="Times New Roman"/>
          <w:sz w:val="24"/>
          <w:szCs w:val="24"/>
        </w:rPr>
        <w:fldChar w:fldCharType="end"/>
      </w:r>
      <w:r w:rsidR="00D57A88" w:rsidRPr="00535A0C">
        <w:rPr>
          <w:rFonts w:ascii="Times New Roman" w:hAnsi="Times New Roman" w:cs="Times New Roman"/>
          <w:sz w:val="24"/>
          <w:szCs w:val="24"/>
        </w:rPr>
        <w:t xml:space="preserve">. </w:t>
      </w:r>
      <w:r w:rsidR="003919DA">
        <w:rPr>
          <w:rFonts w:ascii="Times New Roman" w:hAnsi="Times New Roman" w:cs="Times New Roman"/>
          <w:sz w:val="24"/>
          <w:szCs w:val="24"/>
        </w:rPr>
        <w:t xml:space="preserve">Numerous studies have reported high accuracy </w:t>
      </w:r>
      <w:r w:rsidR="00934436">
        <w:rPr>
          <w:rFonts w:ascii="Times New Roman" w:hAnsi="Times New Roman" w:cs="Times New Roman"/>
          <w:sz w:val="24"/>
          <w:szCs w:val="24"/>
        </w:rPr>
        <w:t>from</w:t>
      </w:r>
      <w:r w:rsidR="003919DA">
        <w:rPr>
          <w:rFonts w:ascii="Times New Roman" w:hAnsi="Times New Roman" w:cs="Times New Roman"/>
          <w:sz w:val="24"/>
          <w:szCs w:val="24"/>
        </w:rPr>
        <w:t xml:space="preserve"> predicting asset price direction</w:t>
      </w:r>
      <w:r w:rsidR="002B5638" w:rsidRPr="002B5638">
        <w:rPr>
          <w:rFonts w:ascii="Times New Roman" w:hAnsi="Times New Roman" w:cs="Times New Roman"/>
          <w:sz w:val="24"/>
          <w:szCs w:val="24"/>
        </w:rPr>
        <w:t xml:space="preserve"> </w:t>
      </w:r>
      <w:r w:rsidR="002B5638" w:rsidRPr="002B5638">
        <w:rPr>
          <w:rFonts w:ascii="Times New Roman" w:hAnsi="Times New Roman" w:cs="Times New Roman"/>
          <w:sz w:val="24"/>
          <w:szCs w:val="24"/>
        </w:rPr>
        <w:fldChar w:fldCharType="begin"/>
      </w:r>
      <w:r w:rsidR="003919DA">
        <w:rPr>
          <w:rFonts w:ascii="Times New Roman" w:hAnsi="Times New Roman" w:cs="Times New Roman"/>
          <w:sz w:val="24"/>
          <w:szCs w:val="24"/>
        </w:rPr>
        <w:instrText xml:space="preserve"> ADDIN ZOTERO_ITEM CSL_CITATION {"citationID":"OL0cRURO","properties":{"formattedCitation":"(Ballings et al., 2015; Basak et al., 2019; Leung et al., 2000; Lohrmann and Luukka, 2019; Nyberg, 2011; Nyberg and P\\uc0\\u246{}nk\\uc0\\u228{}, 2016; P\\uc0\\u246{}nk\\uc0\\u228{}, 2016; Sadorsky, 2022)","plainCitation":"(Ballings et al., 2015; Basak et al., 2019; Leung et al., 2000; Lohrmann and Luukka, 2019; Nyberg, 2011; Nyberg and Pönkä, 2016; Pönkä, 2016; Sadorsky, 2022)","noteIndex":0},"citationItems":[{"id":2201,"uris":["http://zotero.org/users/5823779/items/JNFYS932"],"itemData":{"id":2201,"type":"article-journal","abstract":"Stock price direction prediction is an important issue in the financial world. Even small improvements in predictive performance can be very profitable. The purpose of this paper is to benchmark ensemble methods (Random Forest, AdaBoost and Kernel Factory) against single classifier models (Neural Networks, Logistic Regression, Support Vector Machines and K-Nearest Neighbor). We gathered data from 5767 publicly listed European companies and used the area under the receiver operating characteristic curve (AUC) as a performance measure. Our predictions are one year ahead. The results indicate that Random Forest is the top algorithm followed by Support Vector Machines, Kernel Factory, AdaBoost, Neural Networks, K-Nearest Neighbors and Logistic Regression. This study contributes to literature in that it is, to the best of our knowledge, the first to make such an extensive benchmark. The results clearly suggest that novel studies in the domain of stock price direction prediction should include ensembles in their sets of algorithms. Our extensive literature review evidently indicates that this is currently not the case.","container-title":"Expert Systems with Applications","DOI":"10.1016/j.eswa.2015.05.013","ISSN":"0957-4174","issue":"20","journalAbbreviation":"Expert Systems with Applications","language":"en","page":"7046-7056","source":"ScienceDirect","title":"Evaluating multiple classifiers for stock price direction prediction","volume":"42","author":[{"family":"Ballings","given":"Michel"},{"family":"Van den Poel","given":"Dirk"},{"family":"Hespeels","given":"Nathalie"},{"family":"Gryp","given":"Ruben"}],"issued":{"date-parts":[["2015",11,15]]}}},{"id":1790,"uris":["http://zotero.org/users/5823779/items/NWBBID63"],"itemData":{"id":1790,"type":"article-journal","abstract":"Predicting returns in the stock market is usually posed as a forecasting problem where prices are predicted. Intrinsic volatility in the stock market across the globe makes the task of prediction challenging. Consequently, forecasting and diffusion modeling undermines a diverse range of problems encountered in predicting trends in the stock market. Minimizing forecasting error would minimize investment risk. In the current work, we pose the problem as a direction-predicting exercise signifying gains and losses. We develop an experimental framework for the classification problem which predicts whether stock prices will increase or decrease with respect to the price prevailing n days earlier. Two algorithms, random forests, and gradient boosted decisio‘n trees (using XGBoost) facilitate this connection by using ensembles of decision trees. We test our approach and report the accuracies for a variety of companies as improvement over existing predictions. A novelty of the current work is about the selection of technical indicators and their use as features, with high accuracy for medium to long-run prediction of stock price direction.","container-title":"The North American Journal of Economics and Finance","DOI":"10.1016/j.najef.2018.06.013","ISSN":"1062-9408","journalAbbreviation":"The North American Journal of Economics and Finance","language":"en","page":"552-567","source":"ScienceDirect","title":"Predicting the direction of stock market prices using tree-based classifiers","volume":"47","author":[{"family":"Basak","given":"Suryoday"},{"family":"Kar","given":"Saibal"},{"family":"Saha","given":"Snehanshu"},{"family":"Khaidem","given":"Luckyson"},{"family":"Dey","given":"Sudeepa Roy"}],"issued":{"date-parts":[["2019",1,1]]}}},{"id":1677,"uris":["http://zotero.org/users/5823779/items/MV8B2ZYP"],"itemData":{"id":1677,"type":"article-journal","abstract":"Despite abundant research which focuses on estimating the level of return on stock market index, there is a lack of studies examining the predictability of the direction/sign of stock index movement. Given the notion that a prediction with little forecast error does not necessarily translate into capital gain, we evaluate the efficacy of several multivariate classification techniques relative to a group of level estimation approaches. Specifically, we conduct time series comparisons between the two types of models on the basis of forecast performance and investment return. The tested classification models, which predict direction based on probability, include linear discriminant analysis, logit, probit, and probabilistic neural network. On the other hand, the level estimation counterparts, which forecast the level, are exponential smoothing, multivariate transfer function, vector autoregression with Kalman filter, and multilayered feedforward neural network. Our comparative study also measures the relative strength of these models with respect to the trading profit generated by their forecasts. To facilitate more effective trading, we develop a set of threshold trading rules driven by the probabilities estimated by the classification models. Empirical experimentation suggests that the classification models outperform the level estimation models in terms of predicting the direction of the stock market movement and maximizing returns from investment trading. Further, investment returns are enhanced by the adoption of the threshold trading rules.","container-title":"International Journal of Forecasting","DOI":"10.1016/S0169-2070(99)00048-5","ISSN":"0169-2070","issue":"2","journalAbbreviation":"International Journal of Forecasting","language":"en","page":"173-190","source":"ScienceDirect","title":"Forecasting stock indices: a comparison of classification and level estimation models","title-short":"Forecasting stock indices","volume":"16","author":[{"family":"Leung","given":"Mark T."},{"family":"Daouk","given":"Hazem"},{"family":"Chen","given":"An-Sing"}],"issued":{"date-parts":[["2000",4,1]]}}},{"id":2207,"uris":["http://zotero.org/users/5823779/items/X535G68D"],"itemData":{"id":2207,"type":"article-journal","abstract":"Stock markets can be interpreted to a certain extent as prediction markets, since they can incorporate and represent the different opinions of investors who disagree on the implications of the available information on past and expected events and trade on their beliefs in order to achieve profits. Many forecast models have been developed for predicting the future state of stock markets, with the aim of using this knowledge in a trading strategy. This paper interprets the classification of the S&amp;P500 open-to-close returns as a four-class problem. We compare four trading strategies based on a random forest classifier to a buy-and-hold strategy. The results show that predicting the classes with higher absolute returns, ‘strong positive’ and ‘strong negative’, contributed the most to the trading strategies on average. This finding can help shed light on the way in which using additional event outcomes for the classification beyond a simple upward or downward movement can potentially improve a trading strategy.","collection-title":"Special Section: Supply Chain Forecasting","container-title":"International Journal of Forecasting","DOI":"10.1016/j.ijforecast.2018.08.004","ISSN":"0169-2070","issue":"1","journalAbbreviation":"International Journal of Forecasting","language":"en","page":"390-407","source":"ScienceDirect","title":"Classification of intraday S&amp;P500 returns with a Random Forest","volume":"35","author":[{"family":"Lohrmann","given":"Christoph"},{"family":"Luukka","given":"Pasi"}],"issued":{"date-parts":[["2019",1,1]]}}},{"id":2154,"uris":["http://zotero.org/users/5823779/items/TWB2TGAM"],"itemData":{"id":2154,"type":"article-journal","abstract":"Several empirical studies have documented that the signs of excess stock returns are, to some extent, predictable. In this paper, we consider the predictive ability of the binary dependent dynamic probit model in predicting the direction of monthly excess stock returns. The recession forecast obtained from the model for a binary recession indicator appears to be the most useful predictive variable, and once it is employed, the sign of the excess return is predictable in-sample. The new dynamic “error correction” probit model proposed in the paper yields better out-of-sample sign forecasts, with the resulting average trading returns being higher than those of either the buy-and-hold strategy or trading rules based on ARMAX models.","container-title":"International Journal of Forecasting","DOI":"10.1016/j.ijforecast.2010.02.008","ISSN":"0169-2070","issue":"2","journalAbbreviation":"International Journal of Forecasting","language":"en","page":"561-578","source":"ScienceDirect","title":"Forecasting the direction of the US stock market with dynamic binary probit models","volume":"27","author":[{"family":"Nyberg","given":"Henri"}],"issued":{"date-parts":[["2011",4,1]]}}},{"id":2146,"uris":["http://zotero.org/users/5823779/items/N4GTUBC5"],"itemData":{"id":2146,"type":"article-journal","abstract":"We study the directional predictability of monthly excess stock market returns in the U.S. and ten other markets using univariate and bivariate binary response models. We introduce a new bivariate (two-equation) probit model that allows us to examine the benefits of predicting the signs of returns jointly, focusing on the predictive power originating from the U.S. to foreign markets. Our in-sample and out-of-sample forecasting results indicate superior predictive performance of the new model over competing univariate binary response models, and conventional predictive regressions, by statistical measures and market timing performance. This highlights the importance of predictive information from the U.S. to the other markets providing also practical improvement in investors' market timing decisions.","container-title":"Economic Modelling","DOI":"10.1016/j.econmod.2016.06.013","ISSN":"0264-9993","journalAbbreviation":"Economic Modelling","language":"en","page":"323-338","source":"ScienceDirect","title":"International sign predictability of stock returns: The role of the United States","title-short":"International sign predictability of stock returns","volume":"58","author":[{"family":"Nyberg","given":"Henri"},{"family":"Pönkä","given":"Harri"}],"issued":{"date-parts":[["2016",11,1]]}}},{"id":2143,"uris":["http://zotero.org/users/5823779/items/ZCQJEZ4K"],"itemData":{"id":2143,"type":"article-journal","abstract":"We study the role of real oil prices on the directional predictability of excess stock market returns in the U.S. and 10 other countries using probit models. Previous studies have shown that oil price shocks have adverse effects on stock returns. We extend this literature by focusing on the sign component of excess returns. Our findings indicate that real oil prices are useful predictors of the direction of stock returns in a number of markets over and above commonly used predictors, but results vary substantially between countries. Interestingly, we find only limited evidence of asymmetric effects of oil price shocks.","container-title":"Finance Research Letters","DOI":"10.1016/j.frl.2016.01.011","ISSN":"1544-6123","journalAbbreviation":"Finance Research Letters","language":"en","page":"79-87","source":"ScienceDirect","title":"Real oil prices and the international sign predictability of stock returns","volume":"17","author":[{"family":"Pönkä","given":"Harri"}],"issued":{"date-parts":[["2016",5,1]]}}},{"id":3637,"uris":["http://zotero.org/users/5823779/items/T4HMGIJS"],"itemData":{"id":3637,"type":"article-journal","abstract":"Solar energy is one of the fastest growing sources of electricity generation. Forecasting solar stock prices is important for investors and venture capitalists interested in the renewable energy sector. This paper uses tree-based machine learning methods to forecast the direction of solar stock prices. The feature set used in prediction includes a selection of well-known technical indicators, silver prices, silver price volatility, and oil price volatility. The solar stock price direction prediction accuracy of random forests, bagging, support vector machines, and extremely randomized trees is much higher than that of logit. For a forecast horizon of between 8 and 20 days, random forests, bagging, support vector machines, and extremely randomized trees achieve a prediction accuracy greater than 85%. Although not as prominent as technical indicators like MA200, WAD, and MA20, oil price volatility and silver price volatility are also important predictors. An investment portfolio trading strategy based on trading signals generated from the extremely randomized trees stock price direction prediction outperforms a simple buy and hold strategy. These results demonstrate the accuracy of using tree-based machine learning methods to forecast the direction of solar stock prices and adds to the broader literature on using machine learning techniques to forecast stock prices.","container-title":"The North American Journal of Economics and Finance","DOI":"10.1016/j.najef.2022.101705","ISSN":"1062-9408","journalAbbreviation":"The North American Journal of Economics and Finance","language":"en","page":"101705","source":"ScienceDirect","title":"Forecasting solar stock prices using tree-based machine learning classification: How important are silver prices?","title-short":"Forecasting solar stock prices using tree-based machine learning classification","volume":"61","author":[{"family":"Sadorsky","given":"Perry"}],"issued":{"date-parts":[["2022",7,1]]}}}],"schema":"https://github.com/citation-style-language/schema/raw/master/csl-citation.json"} </w:instrText>
      </w:r>
      <w:r w:rsidR="002B5638" w:rsidRPr="002B5638">
        <w:rPr>
          <w:rFonts w:ascii="Times New Roman" w:hAnsi="Times New Roman" w:cs="Times New Roman"/>
          <w:sz w:val="24"/>
          <w:szCs w:val="24"/>
        </w:rPr>
        <w:fldChar w:fldCharType="separate"/>
      </w:r>
      <w:r w:rsidR="003919DA" w:rsidRPr="003919DA">
        <w:rPr>
          <w:rFonts w:ascii="Times New Roman" w:hAnsi="Times New Roman" w:cs="Times New Roman"/>
          <w:sz w:val="24"/>
          <w:szCs w:val="24"/>
        </w:rPr>
        <w:t>(Ballings et al., 2015; Basak et al., 2019; Leung et al., 2000; Lohrmann and Luukka, 2019; Nyberg, 2011; Nyberg and Pönkä, 2016; Pönkä, 2016; Sadorsky, 2022)</w:t>
      </w:r>
      <w:r w:rsidR="002B5638" w:rsidRPr="002B5638">
        <w:rPr>
          <w:rFonts w:ascii="Times New Roman" w:hAnsi="Times New Roman" w:cs="Times New Roman"/>
          <w:sz w:val="24"/>
          <w:szCs w:val="24"/>
        </w:rPr>
        <w:fldChar w:fldCharType="end"/>
      </w:r>
      <w:r w:rsidR="002B5638" w:rsidRPr="002B5638">
        <w:rPr>
          <w:rFonts w:ascii="Times New Roman" w:hAnsi="Times New Roman" w:cs="Times New Roman"/>
          <w:sz w:val="24"/>
          <w:szCs w:val="24"/>
        </w:rPr>
        <w:t>.</w:t>
      </w:r>
      <w:r w:rsidR="002B5638">
        <w:rPr>
          <w:rFonts w:ascii="Times New Roman" w:hAnsi="Times New Roman" w:cs="Times New Roman"/>
          <w:sz w:val="24"/>
          <w:szCs w:val="24"/>
        </w:rPr>
        <w:t xml:space="preserve"> </w:t>
      </w:r>
      <w:r w:rsidR="00FE6626" w:rsidRPr="00FE6626">
        <w:rPr>
          <w:rFonts w:ascii="Times New Roman" w:hAnsi="Times New Roman" w:cs="Times New Roman"/>
          <w:sz w:val="24"/>
          <w:szCs w:val="24"/>
        </w:rPr>
        <w:t xml:space="preserve">Second, </w:t>
      </w:r>
      <w:r w:rsidR="000D3A30">
        <w:rPr>
          <w:rFonts w:ascii="Times New Roman" w:hAnsi="Times New Roman" w:cs="Times New Roman"/>
          <w:sz w:val="24"/>
          <w:szCs w:val="24"/>
        </w:rPr>
        <w:t xml:space="preserve">machine learning methods are used to predict the price direction of </w:t>
      </w:r>
      <w:r w:rsidR="00D57A88">
        <w:rPr>
          <w:rFonts w:ascii="Times New Roman" w:hAnsi="Times New Roman" w:cs="Times New Roman"/>
          <w:sz w:val="24"/>
          <w:szCs w:val="24"/>
        </w:rPr>
        <w:t>clean energy</w:t>
      </w:r>
      <w:r w:rsidR="00FE6626" w:rsidRPr="00FE6626">
        <w:rPr>
          <w:rFonts w:ascii="Times New Roman" w:hAnsi="Times New Roman" w:cs="Times New Roman"/>
          <w:sz w:val="24"/>
          <w:szCs w:val="24"/>
        </w:rPr>
        <w:t xml:space="preserve"> </w:t>
      </w:r>
      <w:r w:rsidR="000D3A30">
        <w:rPr>
          <w:rFonts w:ascii="Times New Roman" w:hAnsi="Times New Roman" w:cs="Times New Roman"/>
          <w:sz w:val="24"/>
          <w:szCs w:val="24"/>
        </w:rPr>
        <w:t>stocks</w:t>
      </w:r>
      <w:r w:rsidR="00D57A88">
        <w:rPr>
          <w:rFonts w:ascii="Times New Roman" w:hAnsi="Times New Roman" w:cs="Times New Roman"/>
          <w:sz w:val="24"/>
          <w:szCs w:val="24"/>
        </w:rPr>
        <w:t xml:space="preserve">. </w:t>
      </w:r>
      <w:r w:rsidR="000D3A30">
        <w:rPr>
          <w:rFonts w:ascii="Times New Roman" w:hAnsi="Times New Roman" w:cs="Times New Roman"/>
          <w:sz w:val="24"/>
          <w:szCs w:val="24"/>
        </w:rPr>
        <w:t>Compared to standard regression methods, m</w:t>
      </w:r>
      <w:r w:rsidR="00D57A88">
        <w:rPr>
          <w:rFonts w:ascii="Times New Roman" w:hAnsi="Times New Roman" w:cs="Times New Roman"/>
          <w:sz w:val="24"/>
          <w:szCs w:val="24"/>
        </w:rPr>
        <w:t xml:space="preserve">achine learning methods can achieve higher </w:t>
      </w:r>
      <w:r w:rsidR="000D3A30">
        <w:rPr>
          <w:rFonts w:ascii="Times New Roman" w:hAnsi="Times New Roman" w:cs="Times New Roman"/>
          <w:sz w:val="24"/>
          <w:szCs w:val="24"/>
        </w:rPr>
        <w:t xml:space="preserve">prediction </w:t>
      </w:r>
      <w:r w:rsidR="00D57A88">
        <w:rPr>
          <w:rFonts w:ascii="Times New Roman" w:hAnsi="Times New Roman" w:cs="Times New Roman"/>
          <w:sz w:val="24"/>
          <w:szCs w:val="24"/>
        </w:rPr>
        <w:t xml:space="preserve">accuracy when the relationship between the predictor and features is complex </w:t>
      </w:r>
      <w:r w:rsidR="00D57A88">
        <w:rPr>
          <w:rFonts w:ascii="Times New Roman" w:hAnsi="Times New Roman" w:cs="Times New Roman"/>
          <w:sz w:val="24"/>
          <w:szCs w:val="24"/>
        </w:rPr>
        <w:fldChar w:fldCharType="begin"/>
      </w:r>
      <w:r w:rsidR="003919DA">
        <w:rPr>
          <w:rFonts w:ascii="Times New Roman" w:hAnsi="Times New Roman" w:cs="Times New Roman"/>
          <w:sz w:val="24"/>
          <w:szCs w:val="24"/>
        </w:rPr>
        <w:instrText xml:space="preserve"> ADDIN ZOTERO_ITEM CSL_CITATION {"citationID":"6zhOQnnn","properties":{"formattedCitation":"(Hastie et al., 2009; James et al., 2013; Mullainathan and Spiess, 2017)","plainCitation":"(Hastie et al., 2009; James et al., 2013; Mullainathan and Spiess, 2017)","noteIndex":0},"citationItems":[{"id":2804,"uris":["http://zotero.org/users/5823779/items/L4VRCHHX"],"itemData":{"id":2804,"type":"book","abstract":"During the past decade there has been an explosion in computation and information technology. With it have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is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This major new edition features many topics not covered in the original, including graphical models, random forests, ensemble methods, least angle regression and path algorithms for the lasso, non-negative matrix factorization, and spectral clustering. There is also a chapter on methods for ``wide'' data (p bigger than n), including multiple testing and false discovery rates. Trevor Hastie, Robert Tibshirani, and Jerome Friedman are professors of statistics at Stanford University. They are prominent researchers in this area: Hastie and Tibshirani developed generalized additive models and wrote a popular book of that title. Hastie co-developed much of the statistical modeling software and environment in R/S-PLUS and invented principal curves and surfaces. Tibshirani proposed the lasso and is co-author of the very successful An Introduction to the Bootstrap. Friedman is the co-inventor of many data-mining tools including CART, MARS, projection pursuit and gradient boosting.","collection-title":"Springer Series in Statistics","edition":"2","event-place":"New York","ISBN":"978-0-387-84857-0","language":"en","note":"DOI: 10.1007/978-0-387-84858-7","publisher":"Springer-Verlag","publisher-place":"New York","source":"www.springer.com","title":"The Elements of Statistical Learning: Data Mining, Inference, and Prediction, Second Edition","title-short":"The Elements of Statistical Learning","URL":"https://www.springer.com/gp/book/9780387848570","author":[{"family":"Hastie","given":"Trevor"},{"family":"Tibshirani","given":"Robert"},{"family":"Friedman","given":"Jerome"}],"accessed":{"date-parts":[["2021",3,8]]},"issued":{"date-parts":[["2009"]]}}},{"id":1681,"uris":["http://zotero.org/users/5823779/items/UVPPFRTW"],"itemData":{"id":1681,"type":"book","abstract":"An Introduction to Statistical Learning provides an accessible overview of the field of statistical learning, an essential toolset for making sense of the vast and complex data sets that have emerged in fields ranging from biology to finance to marketing to astrophysics in the past twenty years. This book presents some of the most important modeling and prediction techniques, along with relevant applications. Topics include linear regression, classification, resampling methods, shrinkage approaches, tree-based methods, support vector machines, clustering, and more. Color graphics and real-world examples are used to illustrate the methods presented. Since the goal of this textbook is to facilitate the use of these statistical learning techniques by practitioners in science, industry, and other fields, each chapter contains a tutorial on implementing the analyses and methods presented in R, an extremely popular open source statistical software platform.Two of the authors co-wrote The Elements of Statistical Learning (Hastie, Tibshirani and Friedman, 2nd edition 2009), a popular reference book for statistics and machine learning researchers. An Introduction to Statistical Learning covers many of the same topics, but at a level accessible to a much broader audience. This book is targeted at statisticians and non-statisticians alike who wish to use cutting-edge statistical learning techniques to analyze their data. The text assumes only a previous course in linear regression and no knowledge of matrix algebra.","collection-title":"Springer Texts in Statistics","event-place":"New York","ISBN":"978-1-4614-7137-0","language":"en","note":"DOI: 10.1007/978-1-4614-7138-7","publisher":"Springer-Verlag","publisher-place":"New York","source":"www.springer.com","title":"An Introduction to Statistical Learning: with Applications in R","title-short":"An Introduction to Statistical Learning","URL":"https://www.springer.com/gp/book/9781461471370","author":[{"family":"James","given":"Gareth"},{"family":"Witten","given":"Daniela"},{"family":"Hastie","given":"Trevor"},{"family":"Tibshirani","given":"Robert"}],"accessed":{"date-parts":[["2020",7,5]]},"issued":{"date-parts":[["2013"]]}}},{"id":2204,"uris":["http://zotero.org/users/5823779/items/STUMSPSX"],"itemData":{"id":2204,"type":"article-journal","abstract":". This similarity to econometrics raises questions: How do these new empirical tools fit with what we know? As empirical economists, how can we use them? We present a way of thinking about machine learning that gives it its own place in the econometric toolbox. Machine learning not only provides new tools, it solves a different problem. Specifically, machine learning revolves around the problem of prediction, while many economic applications revolve around parameter estimation. So applying machine learning to economics requires finding relevant tasks. Machine learning algorithms are now technically easy to use: you can download convenient packages in R or Python. This also raises the risk that the algorithms are applied naively or their output is misinterpreted. We hope to make them conceptually easier to use by providing a crisper understanding of how these algorithms work, where they excel, and where they can stumble—and thus where they can be most usefully applied.","container-title":"Journal of Economic Perspectives","DOI":"10.1257/jep.31.2.87","ISSN":"0895-3309","issue":"2","language":"en","page":"87-106","source":"www.aeaweb.org","title":"Machine Learning: An Applied Econometric Approach","title-short":"Machine Learning","volume":"31","author":[{"family":"Mullainathan","given":"Sendhil"},{"family":"Spiess","given":"Jann"}],"issued":{"date-parts":[["2017",5]]}}}],"schema":"https://github.com/citation-style-language/schema/raw/master/csl-citation.json"} </w:instrText>
      </w:r>
      <w:r w:rsidR="00D57A88">
        <w:rPr>
          <w:rFonts w:ascii="Times New Roman" w:hAnsi="Times New Roman" w:cs="Times New Roman"/>
          <w:sz w:val="24"/>
          <w:szCs w:val="24"/>
        </w:rPr>
        <w:fldChar w:fldCharType="separate"/>
      </w:r>
      <w:r w:rsidR="003919DA" w:rsidRPr="003919DA">
        <w:rPr>
          <w:rFonts w:ascii="Times New Roman" w:hAnsi="Times New Roman" w:cs="Times New Roman"/>
          <w:sz w:val="24"/>
        </w:rPr>
        <w:t>(Hastie et al., 2009; James et al., 2013; Mullainathan and Spiess, 2017)</w:t>
      </w:r>
      <w:r w:rsidR="00D57A88">
        <w:rPr>
          <w:rFonts w:ascii="Times New Roman" w:hAnsi="Times New Roman" w:cs="Times New Roman"/>
          <w:sz w:val="24"/>
          <w:szCs w:val="24"/>
        </w:rPr>
        <w:fldChar w:fldCharType="end"/>
      </w:r>
      <w:r w:rsidR="00D57A88" w:rsidRPr="00FE6626">
        <w:rPr>
          <w:rFonts w:ascii="Times New Roman" w:hAnsi="Times New Roman" w:cs="Times New Roman"/>
          <w:sz w:val="24"/>
          <w:szCs w:val="24"/>
        </w:rPr>
        <w:t>.</w:t>
      </w:r>
      <w:r w:rsidR="00D57A88">
        <w:rPr>
          <w:rFonts w:ascii="Times New Roman" w:hAnsi="Times New Roman" w:cs="Times New Roman"/>
          <w:sz w:val="24"/>
          <w:szCs w:val="24"/>
        </w:rPr>
        <w:t xml:space="preserve"> Machine learning methods like random forests and support vector machines have demonstrated high accuracy when predicting stock prices </w:t>
      </w:r>
      <w:r w:rsidR="00D57A88">
        <w:rPr>
          <w:rFonts w:ascii="Times New Roman" w:hAnsi="Times New Roman" w:cs="Times New Roman"/>
          <w:sz w:val="24"/>
          <w:szCs w:val="24"/>
        </w:rPr>
        <w:fldChar w:fldCharType="begin"/>
      </w:r>
      <w:r w:rsidR="002A666A">
        <w:rPr>
          <w:rFonts w:ascii="Times New Roman" w:hAnsi="Times New Roman" w:cs="Times New Roman"/>
          <w:sz w:val="24"/>
          <w:szCs w:val="24"/>
        </w:rPr>
        <w:instrText xml:space="preserve"> ADDIN ZOTERO_ITEM CSL_CITATION {"citationID":"RRZQ7fCE","properties":{"formattedCitation":"(Ampomah et al., 2020; Ballings et al., 2015; Basak et al., 2019; Ghosh et al., 2021; Khan et al., 2020; Lohrmann and Luukka, 2019; Weng et al., 2018)","plainCitation":"(Ampomah et al., 2020; Ballings et al., 2015; Basak et al., 2019; Ghosh et al., 2021; Khan et al., 2020; Lohrmann and Luukka, 2019; Weng et al., 2018)","noteIndex":0},"citationItems":[{"id":2226,"uris":["http://zotero.org/users/5823779/items/UNSKGNGB"],"itemData":{"id":2226,"type":"article-journal","abstract":"Forecasting the direction and trend of stock price is an important task which helps investors to make prudent financial decisions in the stock market. Investment in the stock market has a big risk associated with it. Minimizing prediction error reduces the investment risk. Machine learning (ML) models typically perform better than statistical and econometric models. Also, ensemble ML models have been shown in the literature to be able to produce superior performance than single ML models. In this work, we compare the effectiveness of tree-based ensemble ML models (Random Forest (RF), XGBoost Classifier (XG), Bagging Classifier (BC), AdaBoost Classifier (Ada), Extra Trees Classifier (ET), and Voting Classifier (VC)) in forecasting the direction of stock price movement. Eight different stock data from three stock exchanges (NYSE, NASDAQ, and NSE) are randomly collected and used for the study. Each data set is split into training and test set. Ten-fold cross validation accuracy is used to evaluate the ML models on the training set. In addition, the ML models are evaluated on the test set using accuracy, precision, recall, F1-score, specificity, and area under receiver operating characteristics curve (AUC-ROC). Kendall W test of concordance is used to rank the performance of the tree-based ML algorithms. For the training set, the AdaBoost model performed better than the rest of the models. For the test set, accuracy, precision, F1-score, and AUC metrics generated results significant to rank the models, and the Extra Trees classifier outperformed the other models in all the rankings.","container-title":"Information","DOI":"10.3390/info11060332","issue":"6","language":"en","page":"332","source":"www.mdpi.com","title":"Evaluation of Tree-Based Ensemble Machine Learning Models in Predicting Stock Price Direction of Movement","volume":"11","author":[{"family":"Ampomah","given":"Ernest Kwame"},{"family":"Qin","given":"Zhiguang"},{"family":"Nyame","given":"Gabriel"}],"issued":{"date-parts":[["2020",6]]}}},{"id":2201,"uris":["http://zotero.org/users/5823779/items/JNFYS932"],"itemData":{"id":2201,"type":"article-journal","abstract":"Stock price direction prediction is an important issue in the financial world. Even small improvements in predictive performance can be very profitable. The purpose of this paper is to benchmark ensemble methods (Random Forest, AdaBoost and Kernel Factory) against single classifier models (Neural Networks, Logistic Regression, Support Vector Machines and K-Nearest Neighbor). We gathered data from 5767 publicly listed European companies and used the area under the receiver operating characteristic curve (AUC) as a performance measure. Our predictions are one year ahead. The results indicate that Random Forest is the top algorithm followed by Support Vector Machines, Kernel Factory, AdaBoost, Neural Networks, K-Nearest Neighbors and Logistic Regression. This study contributes to literature in that it is, to the best of our knowledge, the first to make such an extensive benchmark. The results clearly suggest that novel studies in the domain of stock price direction prediction should include ensembles in their sets of algorithms. Our extensive literature review evidently indicates that this is currently not the case.","container-title":"Expert Systems with Applications","DOI":"10.1016/j.eswa.2015.05.013","ISSN":"0957-4174","issue":"20","journalAbbreviation":"Expert Systems with Applications","language":"en","page":"7046-7056","source":"ScienceDirect","title":"Evaluating multiple classifiers for stock price direction prediction","volume":"42","author":[{"family":"Ballings","given":"Michel"},{"family":"Van den Poel","given":"Dirk"},{"family":"Hespeels","given":"Nathalie"},{"family":"Gryp","given":"Ruben"}],"issued":{"date-parts":[["2015",11,15]]}}},{"id":1790,"uris":["http://zotero.org/users/5823779/items/NWBBID63"],"itemData":{"id":1790,"type":"article-journal","abstract":"Predicting returns in the stock market is usually posed as a forecasting problem where prices are predicted. Intrinsic volatility in the stock market across the globe makes the task of prediction challenging. Consequently, forecasting and diffusion modeling undermines a diverse range of problems encountered in predicting trends in the stock market. Minimizing forecasting error would minimize investment risk. In the current work, we pose the problem as a direction-predicting exercise signifying gains and losses. We develop an experimental framework for the classification problem which predicts whether stock prices will increase or decrease with respect to the price prevailing n days earlier. Two algorithms, random forests, and gradient boosted decisio‘n trees (using XGBoost) facilitate this connection by using ensembles of decision trees. We test our approach and report the accuracies for a variety of companies as improvement over existing predictions. A novelty of the current work is about the selection of technical indicators and their use as features, with high accuracy for medium to long-run prediction of stock price direction.","container-title":"The North American Journal of Economics and Finance","DOI":"10.1016/j.najef.2018.06.013","ISSN":"1062-9408","journalAbbreviation":"The North American Journal of Economics and Finance","language":"en","page":"552-567","source":"ScienceDirect","title":"Predicting the direction of stock market prices using tree-based classifiers","volume":"47","author":[{"family":"Basak","given":"Suryoday"},{"family":"Kar","given":"Saibal"},{"family":"Saha","given":"Snehanshu"},{"family":"Khaidem","given":"Luckyson"},{"family":"Dey","given":"Sudeepa Roy"}],"issued":{"date-parts":[["2019",1,1]]}}},{"id":3121,"uris":["http://zotero.org/users/5823779/items/9HP5ITWG"],"itemData":{"id":3121,"type":"article-journal","container-title":"Finance Research Letters","DOI":"10.1016/j.frl.2021.102280","ISSN":"15446123","journalAbbreviation":"Finance Research Letters","language":"en","page":"102280","source":"DOI.org (Crossref)","title":"Forecasting directional movements of stock prices for intraday trading using LSTM and random forests","author":[{"family":"Ghosh","given":"Pushpendu"},{"family":"Neufeld","given":"Ariel"},{"family":"Sahoo","given":"Jajati Keshari"}],"issued":{"date-parts":[["2021",7]]}}},{"id":2177,"uris":["http://zotero.org/users/5823779/items/MLVAVRGI"],"itemData":{"id":2177,"type":"article-journal","abstract":"Accurate stock market prediction is of great interest to investors; however, stock markets are driven by volatile factors such as microblogs and news that make it hard to predict stock market index based on merely the historical data. The enormous stock market volatility emphasizes the need to effectively assess the role of external factors in stock prediction. Stock markets can be predicted using machine learning algorithms on information contained in social media and financial news, as this data can change investors’ behavior. In this paper, we use algorithms on social media and financial news data to discover the impact of this data on stock market prediction accuracy for ten subsequent days. For improving performance and quality of predictions, feature selection and spam tweets reduction are performed on the data sets. Moreover, we perform experiments to find such stock markets that are difficult to predict and those that are more influenced by social media and financial news. We compare results of different algorithms to find a consistent classifier. Finally, for achieving maximum prediction accuracy, deep learning is used and some classifiers are ensembled. Our experimental results show that highest prediction accuracies of 80.53% and 75.16% are achieved using social media and financial news, respectively. We also show that New York and Red Hat stock markets are hard to predict, New York and IBM stocks are more influenced by social media, while London and Microsoft stocks by financial news. Random forest classifier is found to be consistent and highest accuracy of 83.22% is achieved by its ensemble.","container-title":"Journal of Ambient Intelligence and Humanized Computing","DOI":"10.1007/s12652-020-01839-w","ISSN":"1868-5145","journalAbbreviation":"J Ambient Intell Human Comput","language":"en","source":"Springer Link","title":"Stock market prediction using machine learning classifiers and social media, news","URL":"https://doi.org/10.1007/s12652-020-01839-w","author":[{"family":"Khan","given":"Wasiat"},{"family":"Ghazanfar","given":"Mustansar Ali"},{"family":"Azam","given":"Muhammad Awais"},{"family":"Karami","given":"Amin"},{"family":"Alyoubi","given":"Khaled H."},{"family":"Alfakeeh","given":"Ahmed S."}],"accessed":{"date-parts":[["2020",11,13]]},"issued":{"date-parts":[["2020",3,14]]}}},{"id":2207,"uris":["http://zotero.org/users/5823779/items/X535G68D"],"itemData":{"id":2207,"type":"article-journal","abstract":"Stock markets can be interpreted to a certain extent as prediction markets, since they can incorporate and represent the different opinions of investors who disagree on the implications of the available information on past and expected events and trade on their beliefs in order to achieve profits. Many forecast models have been developed for predicting the future state of stock markets, with the aim of using this knowledge in a trading strategy. This paper interprets the classification of the S&amp;P500 open-to-close returns as a four-class problem. We compare four trading strategies based on a random forest classifier to a buy-and-hold strategy. The results show that predicting the classes with higher absolute returns, ‘strong positive’ and ‘strong negative’, contributed the most to the trading strategies on average. This finding can help shed light on the way in which using additional event outcomes for the classification beyond a simple upward or downward movement can potentially improve a trading strategy.","collection-title":"Special Section: Supply Chain Forecasting","container-title":"International Journal of Forecasting","DOI":"10.1016/j.ijforecast.2018.08.004","ISSN":"0169-2070","issue":"1","journalAbbreviation":"International Journal of Forecasting","language":"en","page":"390-407","source":"ScienceDirect","title":"Classification of intraday S&amp;P500 returns with a Random Forest","volume":"35","author":[{"family":"Lohrmann","given":"Christoph"},{"family":"Luukka","given":"Pasi"}],"issued":{"date-parts":[["2019",1,1]]}}},{"id":2213,"uris":["http://zotero.org/users/5823779/items/DPBYG3NH"],"itemData":{"id":2213,"type":"article-journal","abstract":"With the ubiquity of the Internet, platforms such as: Google, Wikipedia and the like can provide insights pertaining to firms’ financial performance as well as capture the collective interest of traders through search trends, number of web page visitors and/or financial news sentiment. Information emanating from these platforms can significantly affect, or be affected by, changes in the stock market. The overarching goal of this paper is to develop a financial expert system that incorporates these features to predict short term stock prices. Our expert system is comprised of two main modules: a knowledge base and an artificial intelligence (AI) platform. The “knowledge base” for our expert system captures: (a) historical stock prices; (b) several well-known technical indicators; (c) counts and sentiment scores of published news articles for a given stock; (d) trends in Google searches for the given stock ticker; and (e) number of unique visitors for pertinent Wikipedia pages. Once the data is collected, we use a structured approach for data preparation. Then, the AI platform trains four machine learning ensemble methods: (a) a neural network regression ensemble; (b) a support vector regression ensemble; (c) a boosted regression tree; and (d) a random forest regression. In the cross-validation phase, the AI platform picks the “best” ensemble for a given stock. To evaluate the efficacy of our expert system, we first present a case study based on the Citi Group stock ($C) with data collected from 01/01/2013 - 12/31/2016. We show the expert system can predict the 1-day ahead $C stock price with a mean absolute percent error (MAPE)  ≤  1.50% and the 1–10 day ahead with a MAPE  ≤  1.89%, which is better than the reported results in the literature. We show that the use of features extracted from online sources does not substitute the traditional financial metrics, but rather supplements them to improve upon the prediction performance of machine learning based methods. To highlight the utility and generalizability of our expert system, we predict the 1-day ahead price of 19 additional stocks from different industries, volatilities and growth patterns. We report an overall mean for the MAPE statistic of 1.07% across our five different machine learning models, including a MAPE of under 0.75% for 18 of the 19 stocks for the best ensemble (boosted regression tree).","container-title":"Expert Systems with Applications","DOI":"10.1016/j.eswa.2018.06.016","ISSN":"0957-4174","journalAbbreviation":"Expert Systems with Applications","language":"en","page":"258-273","source":"ScienceDirect","title":"Predicting short-term stock prices using ensemble methods and online data sources","volume":"112","author":[{"family":"Weng","given":"Bin"},{"family":"Lu","given":"Lin"},{"family":"Wang","given":"Xing"},{"family":"Megahed","given":"Fadel M."},{"family":"Martinez","given":"Waldyn"}],"issued":{"date-parts":[["2018",12,1]]}}}],"schema":"https://github.com/citation-style-language/schema/raw/master/csl-citation.json"} </w:instrText>
      </w:r>
      <w:r w:rsidR="00D57A88">
        <w:rPr>
          <w:rFonts w:ascii="Times New Roman" w:hAnsi="Times New Roman" w:cs="Times New Roman"/>
          <w:sz w:val="24"/>
          <w:szCs w:val="24"/>
        </w:rPr>
        <w:fldChar w:fldCharType="separate"/>
      </w:r>
      <w:r w:rsidR="00F31A70" w:rsidRPr="00F31A70">
        <w:rPr>
          <w:rFonts w:ascii="Times New Roman" w:hAnsi="Times New Roman" w:cs="Times New Roman"/>
          <w:sz w:val="24"/>
        </w:rPr>
        <w:t>(Ampomah et al., 2020; Ballings et al., 2015; Basak et al., 2019; Ghosh et al., 2021; Khan et al., 2020; Lohrmann and Luukka, 2019; Weng et al., 2018)</w:t>
      </w:r>
      <w:r w:rsidR="00D57A88">
        <w:rPr>
          <w:rFonts w:ascii="Times New Roman" w:hAnsi="Times New Roman" w:cs="Times New Roman"/>
          <w:sz w:val="24"/>
          <w:szCs w:val="24"/>
        </w:rPr>
        <w:fldChar w:fldCharType="end"/>
      </w:r>
      <w:r w:rsidR="00D57A88">
        <w:rPr>
          <w:rFonts w:ascii="Times New Roman" w:hAnsi="Times New Roman" w:cs="Times New Roman"/>
          <w:sz w:val="24"/>
          <w:szCs w:val="24"/>
        </w:rPr>
        <w:t xml:space="preserve">. </w:t>
      </w:r>
      <w:r w:rsidR="000F7DED">
        <w:rPr>
          <w:rFonts w:ascii="Times New Roman" w:hAnsi="Times New Roman" w:cs="Times New Roman"/>
          <w:sz w:val="24"/>
          <w:szCs w:val="24"/>
        </w:rPr>
        <w:t xml:space="preserve">Building on this existing literature, the </w:t>
      </w:r>
      <w:r w:rsidR="00B16343">
        <w:rPr>
          <w:rFonts w:ascii="Times New Roman" w:hAnsi="Times New Roman" w:cs="Times New Roman"/>
          <w:sz w:val="24"/>
          <w:szCs w:val="24"/>
        </w:rPr>
        <w:t xml:space="preserve">machine learning </w:t>
      </w:r>
      <w:r w:rsidR="000F7DED">
        <w:rPr>
          <w:rFonts w:ascii="Times New Roman" w:hAnsi="Times New Roman" w:cs="Times New Roman"/>
          <w:sz w:val="24"/>
          <w:szCs w:val="24"/>
        </w:rPr>
        <w:t xml:space="preserve">methods used in this present paper include random forests, extremely randomized trees, </w:t>
      </w:r>
      <w:r w:rsidR="001D2527">
        <w:rPr>
          <w:rFonts w:ascii="Times New Roman" w:hAnsi="Times New Roman" w:cs="Times New Roman"/>
          <w:sz w:val="24"/>
          <w:szCs w:val="24"/>
        </w:rPr>
        <w:t xml:space="preserve">stochastic gradient boosting, </w:t>
      </w:r>
      <w:r w:rsidR="000F7DED">
        <w:rPr>
          <w:rFonts w:ascii="Times New Roman" w:hAnsi="Times New Roman" w:cs="Times New Roman"/>
          <w:sz w:val="24"/>
          <w:szCs w:val="24"/>
        </w:rPr>
        <w:t xml:space="preserve">support vector machine, </w:t>
      </w:r>
      <w:r w:rsidR="005D4FA0">
        <w:rPr>
          <w:rFonts w:ascii="Times New Roman" w:hAnsi="Times New Roman" w:cs="Times New Roman"/>
          <w:sz w:val="24"/>
          <w:szCs w:val="24"/>
        </w:rPr>
        <w:t>Lasso</w:t>
      </w:r>
      <w:r w:rsidR="000F7DED">
        <w:rPr>
          <w:rFonts w:ascii="Times New Roman" w:hAnsi="Times New Roman" w:cs="Times New Roman"/>
          <w:sz w:val="24"/>
          <w:szCs w:val="24"/>
        </w:rPr>
        <w:t>, and Naïve Bayes</w:t>
      </w:r>
      <w:r w:rsidR="000822EE">
        <w:rPr>
          <w:rFonts w:ascii="Times New Roman" w:hAnsi="Times New Roman" w:cs="Times New Roman"/>
          <w:sz w:val="24"/>
          <w:szCs w:val="24"/>
        </w:rPr>
        <w:t xml:space="preserve">. </w:t>
      </w:r>
      <w:r w:rsidR="00FE6626" w:rsidRPr="00FE6626">
        <w:rPr>
          <w:rFonts w:ascii="Times New Roman" w:hAnsi="Times New Roman" w:cs="Times New Roman"/>
          <w:sz w:val="24"/>
          <w:szCs w:val="24"/>
        </w:rPr>
        <w:t>Third, the feature</w:t>
      </w:r>
      <w:r w:rsidR="007F5B41">
        <w:rPr>
          <w:rFonts w:ascii="Times New Roman" w:hAnsi="Times New Roman" w:cs="Times New Roman"/>
          <w:sz w:val="24"/>
          <w:szCs w:val="24"/>
        </w:rPr>
        <w:t>s</w:t>
      </w:r>
      <w:r w:rsidR="00FE6626" w:rsidRPr="00FE6626">
        <w:rPr>
          <w:rFonts w:ascii="Times New Roman" w:hAnsi="Times New Roman" w:cs="Times New Roman"/>
          <w:sz w:val="24"/>
          <w:szCs w:val="24"/>
        </w:rPr>
        <w:t xml:space="preserve"> (</w:t>
      </w:r>
      <w:r w:rsidR="007F5B41">
        <w:rPr>
          <w:rFonts w:ascii="Times New Roman" w:hAnsi="Times New Roman" w:cs="Times New Roman"/>
          <w:sz w:val="24"/>
          <w:szCs w:val="24"/>
        </w:rPr>
        <w:t xml:space="preserve">also referred to as </w:t>
      </w:r>
      <w:r w:rsidR="00FE6626" w:rsidRPr="00FE6626">
        <w:rPr>
          <w:rFonts w:ascii="Times New Roman" w:hAnsi="Times New Roman" w:cs="Times New Roman"/>
          <w:sz w:val="24"/>
          <w:szCs w:val="24"/>
        </w:rPr>
        <w:t>explanatory variables</w:t>
      </w:r>
      <w:r w:rsidR="00896D74">
        <w:rPr>
          <w:rFonts w:ascii="Times New Roman" w:hAnsi="Times New Roman" w:cs="Times New Roman"/>
          <w:sz w:val="24"/>
          <w:szCs w:val="24"/>
        </w:rPr>
        <w:t xml:space="preserve"> or predictors</w:t>
      </w:r>
      <w:r w:rsidR="00FE6626" w:rsidRPr="00FE6626">
        <w:rPr>
          <w:rFonts w:ascii="Times New Roman" w:hAnsi="Times New Roman" w:cs="Times New Roman"/>
          <w:sz w:val="24"/>
          <w:szCs w:val="24"/>
        </w:rPr>
        <w:t xml:space="preserve">) includes technical indicators, </w:t>
      </w:r>
      <w:r w:rsidR="007F5B41">
        <w:rPr>
          <w:rFonts w:ascii="Times New Roman" w:hAnsi="Times New Roman" w:cs="Times New Roman"/>
          <w:sz w:val="24"/>
          <w:szCs w:val="24"/>
        </w:rPr>
        <w:t xml:space="preserve">market volatility and </w:t>
      </w:r>
      <w:r w:rsidR="00514124">
        <w:rPr>
          <w:rFonts w:ascii="Times New Roman" w:hAnsi="Times New Roman" w:cs="Times New Roman"/>
          <w:sz w:val="24"/>
          <w:szCs w:val="24"/>
        </w:rPr>
        <w:t xml:space="preserve">policy </w:t>
      </w:r>
      <w:r w:rsidR="007F5B41">
        <w:rPr>
          <w:rFonts w:ascii="Times New Roman" w:hAnsi="Times New Roman" w:cs="Times New Roman"/>
          <w:sz w:val="24"/>
          <w:szCs w:val="24"/>
        </w:rPr>
        <w:t>uncertainty</w:t>
      </w:r>
      <w:r w:rsidR="00FE6626" w:rsidRPr="00FE6626">
        <w:rPr>
          <w:rFonts w:ascii="Times New Roman" w:hAnsi="Times New Roman" w:cs="Times New Roman"/>
          <w:sz w:val="24"/>
          <w:szCs w:val="24"/>
        </w:rPr>
        <w:t xml:space="preserve">. </w:t>
      </w:r>
      <w:r w:rsidR="007F5B41">
        <w:rPr>
          <w:rFonts w:ascii="Times New Roman" w:hAnsi="Times New Roman" w:cs="Times New Roman"/>
          <w:sz w:val="24"/>
          <w:szCs w:val="24"/>
        </w:rPr>
        <w:t>T</w:t>
      </w:r>
      <w:r w:rsidR="0037354A" w:rsidRPr="0037354A">
        <w:rPr>
          <w:rFonts w:ascii="Times New Roman" w:hAnsi="Times New Roman" w:cs="Times New Roman"/>
          <w:sz w:val="24"/>
          <w:szCs w:val="24"/>
        </w:rPr>
        <w:t xml:space="preserve">echnical indicators </w:t>
      </w:r>
      <w:r w:rsidR="00B65AD3">
        <w:rPr>
          <w:rFonts w:ascii="Times New Roman" w:hAnsi="Times New Roman" w:cs="Times New Roman"/>
          <w:sz w:val="24"/>
          <w:szCs w:val="24"/>
        </w:rPr>
        <w:t xml:space="preserve">are important </w:t>
      </w:r>
      <w:r w:rsidR="0037354A">
        <w:rPr>
          <w:rFonts w:ascii="Times New Roman" w:hAnsi="Times New Roman" w:cs="Times New Roman"/>
          <w:sz w:val="24"/>
          <w:szCs w:val="24"/>
        </w:rPr>
        <w:t xml:space="preserve"> </w:t>
      </w:r>
      <w:r w:rsidR="0037354A" w:rsidRPr="0037354A">
        <w:rPr>
          <w:rFonts w:ascii="Times New Roman" w:hAnsi="Times New Roman" w:cs="Times New Roman"/>
          <w:sz w:val="24"/>
          <w:szCs w:val="24"/>
        </w:rPr>
        <w:lastRenderedPageBreak/>
        <w:t xml:space="preserve">for predicting </w:t>
      </w:r>
      <w:r w:rsidR="00B51E8C">
        <w:rPr>
          <w:rFonts w:ascii="Times New Roman" w:hAnsi="Times New Roman" w:cs="Times New Roman"/>
          <w:sz w:val="24"/>
          <w:szCs w:val="24"/>
        </w:rPr>
        <w:t>asset</w:t>
      </w:r>
      <w:r w:rsidR="0037354A" w:rsidRPr="0037354A">
        <w:rPr>
          <w:rFonts w:ascii="Times New Roman" w:hAnsi="Times New Roman" w:cs="Times New Roman"/>
          <w:sz w:val="24"/>
          <w:szCs w:val="24"/>
        </w:rPr>
        <w:t xml:space="preserve"> price</w:t>
      </w:r>
      <w:r w:rsidR="00934436">
        <w:rPr>
          <w:rFonts w:ascii="Times New Roman" w:hAnsi="Times New Roman" w:cs="Times New Roman"/>
          <w:sz w:val="24"/>
          <w:szCs w:val="24"/>
        </w:rPr>
        <w:t>s</w:t>
      </w:r>
      <w:r w:rsidR="0037354A" w:rsidRPr="0037354A">
        <w:rPr>
          <w:rFonts w:ascii="Times New Roman" w:hAnsi="Times New Roman" w:cs="Times New Roman"/>
          <w:sz w:val="24"/>
          <w:szCs w:val="24"/>
        </w:rPr>
        <w:t xml:space="preserve"> </w:t>
      </w:r>
      <w:r w:rsidR="0037354A" w:rsidRPr="0037354A">
        <w:rPr>
          <w:rFonts w:ascii="Times New Roman" w:hAnsi="Times New Roman" w:cs="Times New Roman"/>
          <w:sz w:val="24"/>
          <w:szCs w:val="24"/>
        </w:rPr>
        <w:fldChar w:fldCharType="begin"/>
      </w:r>
      <w:r w:rsidR="00DE097C">
        <w:rPr>
          <w:rFonts w:ascii="Times New Roman" w:hAnsi="Times New Roman" w:cs="Times New Roman"/>
          <w:sz w:val="24"/>
          <w:szCs w:val="24"/>
        </w:rPr>
        <w:instrText xml:space="preserve"> ADDIN ZOTERO_ITEM CSL_CITATION {"citationID":"M29Myz0I","properties":{"formattedCitation":"(Bustos and Pomares-Quimbaya, 2020; Neely et al., 2014; Sadorsky, 2022, 2021a, 2021b; Wang et al., 2020; Yin et al., 2017; Yin and Yang, 2016)","plainCitation":"(Bustos and Pomares-Quimbaya, 2020; Neely et al., 2014; Sadorsky, 2022, 2021a, 2021b; Wang et al., 2020; Yin et al., 2017; Yin and Yang, 2016)","noteIndex":0},"citationItems":[{"id":2216,"uris":["http://zotero.org/users/5823779/items/BRXJ8JNT"],"itemData":{"id":2216,"type":"article-journal","abstract":"Achieving accurate stock market models can provide investors with tools for making better data-based decisions. These models can help traders to reduce investment risk and select the most profitable stocks. Furthermore, creating advanced models enable the usage of non-traditional data like historical stock prices and news. There are several review articles about financial problems, including stock market analysis and forecast, currency exchange forecast, optimal portfolio selection, among others. However, the recent advances in machine learning techniques, like Deep Learning, Text Mining Techniques, and Ensemble Techniques, raises the need to perform an updated review. This study aims to fill this gap by providing an updated systematic review of the forecasting techniques used in the stock market, including their classification, characterization and comparison. The review is focused on studies on stock market movement prediction from 2014 to 2018, obtained from the scientific databases Scopus and Web of Science. Besides, it analyzes surveys and other reviews of recent studies published in the same time frame and the same databases.","container-title":"Expert Systems with Applications","DOI":"10.1016/j.eswa.2020.113464","ISSN":"0957-4174","journalAbbreviation":"Expert Systems with Applications","language":"en","page":"113464","source":"ScienceDirect","title":"Stock market movement forecast: A Systematic review","title-short":"Stock market movement forecast","volume":"156","author":[{"family":"Bustos","given":"O"},{"family":"Pomares-Quimbaya","given":"A."}],"issued":{"date-parts":[["2020",10,15]]}}},{"id":3456,"uris":["http://zotero.org/users/5823779/items/29QZIU5V"],"itemData":{"id":3456,"type":"article-journal","container-title":"Management Science","DOI":"10.1287/mnsc.2013.1838","ISSN":"0025-1909, 1526-5501","issue":"7","journalAbbreviation":"Management Science","language":"en","page":"1772-1791","source":"DOI.org (Crossref)","title":"Forecasting the Equity Risk Premium: The Role of Technical Indicators","title-short":"Forecasting the Equity Risk Premium","volume":"60","author":[{"family":"Neely","given":"Christopher J."},{"family":"Rapach","given":"David E."},{"family":"Tu","given":"Jun"},{"family":"Zhou","given":"Guofu"}],"issued":{"date-parts":[["2014",7]]}}},{"id":3637,"uris":["http://zotero.org/users/5823779/items/T4HMGIJS"],"itemData":{"id":3637,"type":"article-journal","abstract":"Solar energy is one of the fastest growing sources of electricity generation. Forecasting solar stock prices is important for investors and venture capitalists interested in the renewable energy sector. This paper uses tree-based machine learning methods to forecast the direction of solar stock prices. The feature set used in prediction includes a selection of well-known technical indicators, silver prices, silver price volatility, and oil price volatility. The solar stock price direction prediction accuracy of random forests, bagging, support vector machines, and extremely randomized trees is much higher than that of logit. For a forecast horizon of between 8 and 20 days, random forests, bagging, support vector machines, and extremely randomized trees achieve a prediction accuracy greater than 85%. Although not as prominent as technical indicators like MA200, WAD, and MA20, oil price volatility and silver price volatility are also important predictors. An investment portfolio trading strategy based on trading signals generated from the extremely randomized trees stock price direction prediction outperforms a simple buy and hold strategy. These results demonstrate the accuracy of using tree-based machine learning methods to forecast the direction of solar stock prices and adds to the broader literature on using machine learning techniques to forecast stock prices.","container-title":"The North American Journal of Economics and Finance","DOI":"10.1016/j.najef.2022.101705","ISSN":"1062-9408","journalAbbreviation":"The North American Journal of Economics and Finance","language":"en","page":"101705","source":"ScienceDirect","title":"Forecasting solar stock prices using tree-based machine learning classification: How important are silver prices?","title-short":"Forecasting solar stock prices using tree-based machine learning classification","volume":"61","author":[{"family":"Sadorsky","given":"Perry"}],"issued":{"date-parts":[["2022",7,1]]}}},{"id":2785,"uris":["http://zotero.org/users/5823779/items/YVFWXLX9"],"itemData":{"id":2785,"type":"article-journal","abstract":"Climate change, green consumers, energy security, fossil fuel divestment, and technological innovation are powerful forces shaping an increased interest towards investing in companies that specialize in clean energy. Well informed investors need reliable methods for predicting the stock prices of clean energy companies. While the existing literature on forecasting stock prices shows how difficult it is to predict stock prices, there is evidence that predicting stock price direction is more successful than predicting actual stock prices. This paper uses the machine learning method of random forests to predict the stock price direction of clean energy exchange traded funds. Some well-known technical indicators are used as features. Decision tree bagging and random forests predictions of stock price direction are more accurate than those obtained from logit models. For a 20-day forecast horizon, tree bagging and random forests methods produce accuracy rates of between 85% and 90% while logit models produce accuracy rates of between 55% and 60%. Tree bagging and random forests are easy to understand and estimate and are useful methods for forecasting the stock price direction of clean energy stocks.","container-title":"Journal of Risk and Financial Management","DOI":"10.3390/jrfm14020048","issue":"2","language":"en","note":"number: 2\npublisher: Multidisciplinary Digital Publishing Institute","page":"48","source":"www.mdpi.com","title":"A Random Forests Approach to Predicting Clean Energy Stock Prices","volume":"14","author":[{"family":"Sadorsky","given":"Perry"}],"issued":{"date-parts":[["2021",2]]}}},{"id":2920,"uris":["http://zotero.org/users/5823779/items/WKYJ8BIV"],"itemData":{"id":2920,"type":"article-journal","abstract":"Gold is often used by investors as a hedge against inflation or adverse economic times. Consequently, it is important for investors to have accurate forecasts of gold prices. This paper uses several machine learning tree-based classifiers (bagging, stochastic gradient boosting, random forests) to predict the price direction of gold and silver exchange traded funds. Decision tree bagging, stochastic gradient boosting, and random forests predictions of gold and silver price direction are much more accurate than those obtained from logit models. For a 20-day forecast horizon, tree bagging, stochastic gradient boosting, and random forests produce accuracy rates of between 85% and 90% while logit models produce accuracy rates of between 55% and 60%. Stochastic gradient boosting accuracy is a few percentage points less than that of random forests for forecast horizons over 10 days. For those looking to forecast the direction of gold and silver prices, tree bagging and random forests offer an attractive combination of accuracy and ease of estimation. For each of gold and silver, a portfolio based on the random forests price direction forecasts outperformed a buy and hold portfolio.","container-title":"Journal of Risk and Financial Management","DOI":"10.3390/jrfm14050198","issue":"5","language":"en","note":"number: 5\npublisher: Multidisciplinary Digital Publishing Institute","page":"198","source":"www.mdpi.com","title":"Predicting Gold and Silver Price Direction Using Tree-Based Classifiers","volume":"14","author":[{"family":"Sadorsky","given":"Perry"}],"issued":{"date-parts":[["2021",5]]}}},{"id":1710,"uris":["http://zotero.org/users/5823779/items/I9C3579Y"],"itemData":{"id":1710,"type":"article-journal","abstract":"Economic variables are often used for forecasting commodity prices, but technical indicators have received much less attention in the literature. This paper demonstrates the predictability of commodity price changes using many technical indicators. Technical indicators are stronger predictors than economic indicators, and their forecasting performances are not affected by the problems of data mining or time changes. An investor with mean–variance preference receives utility gains of between 104.4 and 185.5 basis points from using technical indicators. Further analysis shows that technical indicators also perform better than economic variables for forecasting the density of commodity price changes.","container-title":"International Journal of Forecasting","DOI":"10.1016/j.ijforecast.2019.08.004","ISSN":"0169-2070","issue":"2","journalAbbreviation":"International Journal of Forecasting","language":"en","page":"666-683","source":"ScienceDirect","title":"Forecasting commodity prices out-of-sample: Can technical indicators help?","title-short":"Forecasting commodity prices out-of-sample","volume":"36","author":[{"family":"Wang","given":"Yudong"},{"family":"Liu","given":"Li"},{"family":"Wu","given":"Chongfeng"}],"issued":{"date-parts":[["2020",4,1]]}}},{"id":2162,"uris":["http://zotero.org/users/5823779/items/VQXLC43B"],"itemData":{"id":2162,"type":"article-journal","abstract":"This paper investigates the financialization and structural co-movement of several commodity futures using factor variance decomposition and predictability of technical indicators and macro variables. We find that financialization is still a dominant player in the commodity market and that recent commodity price fluctuations can be significantly and robustly forecasted by technical analyses of commodity index investments. Moreover, the co-movement of commodities is demonstrated by variance decomposition and explained as commodity index investment, which provides evidence of financialization. The overall empirical analysis reveals that technical indicators and macro variables can statistically and economically forecast the indexed investment and off-index trading, respectively, which indicates that they are suitable predictors of the commodity markets.","container-title":"Quantitative Finance","DOI":"10.1080/14697688.2016.1225977","ISSN":"1469-7688","issue":"5","page":"795-812","source":"Taylor and Francis+NEJM","title":"Predictability of structural co-movement in commodity prices: the role of technical indicators","title-short":"Predictability of structural co-movement in commodity prices","volume":"17","author":[{"family":"Yin","given":"Libo"},{"family":"Yang","given":"Qingyuan"},{"family":"Su","given":"Zhi"}],"issued":{"date-parts":[["2017",5,4]]}}},{"id":1707,"uris":["http://zotero.org/users/5823779/items/KG6V6JNY"],"itemData":{"id":1707,"type":"article-journal","abstract":"This paper aims to investigate the predictability of technical indicators to directly forecast oil prices and compare their performances with macroeconomic variables. We find that technical indicators do exhibit statistically and economically significant in-sample and out-of-sample forecasting power under OLS regressions and forecast combinations, clearly exceeding that of well-known macroeconomic variables and state-of-the-art oil-macro forecasting variables. Moreover, the strength of the predictive evidence is substantial during recessions and expansions and can detect the typical decline in the oil returns near business-cycle peaks effectively. Furthermore, technical indicators reveal substantial economic value for investors, in terms of superior oil risk premium forecasts and sizable utility gains. The technical indicators' ability to predict the oil price stems in part from its ability to predict changes in sentiment, suggesting the financialization of oil markets.","container-title":"Energy Economics","DOI":"10.1016/j.eneco.2016.03.017","ISSN":"0140-9883","journalAbbreviation":"Energy Economics","language":"en","page":"338-350","source":"ScienceDirect","title":"Predicting the oil prices: Do technical indicators help?","title-short":"Predicting the oil prices","volume":"56","author":[{"family":"Yin","given":"Libo"},{"family":"Yang","given":"Qingyuan"}],"issued":{"date-parts":[["2016",5,1]]}}}],"schema":"https://github.com/citation-style-language/schema/raw/master/csl-citation.json"} </w:instrText>
      </w:r>
      <w:r w:rsidR="0037354A" w:rsidRPr="0037354A">
        <w:rPr>
          <w:rFonts w:ascii="Times New Roman" w:hAnsi="Times New Roman" w:cs="Times New Roman"/>
          <w:sz w:val="24"/>
          <w:szCs w:val="24"/>
        </w:rPr>
        <w:fldChar w:fldCharType="separate"/>
      </w:r>
      <w:r w:rsidR="00F31A70" w:rsidRPr="00F31A70">
        <w:rPr>
          <w:rFonts w:ascii="Times New Roman" w:hAnsi="Times New Roman" w:cs="Times New Roman"/>
          <w:sz w:val="24"/>
        </w:rPr>
        <w:t>(Bustos and Pomares-Quimbaya, 2020; Neely et al., 2014; Sadorsky, 2022, 2021a, 2021b; Wang et al., 2020; Yin et al., 2017; Yin and Yang, 2016)</w:t>
      </w:r>
      <w:r w:rsidR="0037354A" w:rsidRPr="0037354A">
        <w:rPr>
          <w:rFonts w:ascii="Times New Roman" w:hAnsi="Times New Roman" w:cs="Times New Roman"/>
          <w:sz w:val="24"/>
          <w:szCs w:val="24"/>
        </w:rPr>
        <w:fldChar w:fldCharType="end"/>
      </w:r>
      <w:r w:rsidR="007F5B41">
        <w:rPr>
          <w:rFonts w:ascii="Times New Roman" w:hAnsi="Times New Roman" w:cs="Times New Roman"/>
          <w:sz w:val="24"/>
          <w:szCs w:val="24"/>
        </w:rPr>
        <w:t xml:space="preserve">. Including market volatility and uncertainty is a new contribution to the literature on predicting clean energy stock prices. </w:t>
      </w:r>
      <w:r w:rsidR="00997523">
        <w:rPr>
          <w:rFonts w:ascii="Times New Roman" w:hAnsi="Times New Roman" w:cs="Times New Roman"/>
          <w:sz w:val="24"/>
          <w:szCs w:val="24"/>
        </w:rPr>
        <w:t xml:space="preserve">The research that comes closest to this present study are the papers by Sadorsky </w:t>
      </w:r>
      <w:r w:rsidR="00997523">
        <w:rPr>
          <w:rFonts w:ascii="Times New Roman" w:hAnsi="Times New Roman" w:cs="Times New Roman"/>
          <w:sz w:val="24"/>
          <w:szCs w:val="24"/>
        </w:rPr>
        <w:fldChar w:fldCharType="begin"/>
      </w:r>
      <w:r w:rsidR="00997523">
        <w:rPr>
          <w:rFonts w:ascii="Times New Roman" w:hAnsi="Times New Roman" w:cs="Times New Roman"/>
          <w:sz w:val="24"/>
          <w:szCs w:val="24"/>
        </w:rPr>
        <w:instrText xml:space="preserve"> ADDIN ZOTERO_ITEM CSL_CITATION {"citationID":"1FcG94eD","properties":{"formattedCitation":"(2021a)","plainCitation":"(2021a)","noteIndex":0},"citationItems":[{"id":2785,"uris":["http://zotero.org/users/5823779/items/YVFWXLX9"],"itemData":{"id":2785,"type":"article-journal","abstract":"Climate change, green consumers, energy security, fossil fuel divestment, and technological innovation are powerful forces shaping an increased interest towards investing in companies that specialize in clean energy. Well informed investors need reliable methods for predicting the stock prices of clean energy companies. While the existing literature on forecasting stock prices shows how difficult it is to predict stock prices, there is evidence that predicting stock price direction is more successful than predicting actual stock prices. This paper uses the machine learning method of random forests to predict the stock price direction of clean energy exchange traded funds. Some well-known technical indicators are used as features. Decision tree bagging and random forests predictions of stock price direction are more accurate than those obtained from logit models. For a 20-day forecast horizon, tree bagging and random forests methods produce accuracy rates of between 85% and 90% while logit models produce accuracy rates of between 55% and 60%. Tree bagging and random forests are easy to understand and estimate and are useful methods for forecasting the stock price direction of clean energy stocks.","container-title":"Journal of Risk and Financial Management","DOI":"10.3390/jrfm14020048","issue":"2","language":"en","note":"number: 2\npublisher: Multidisciplinary Digital Publishing Institute","page":"48","source":"www.mdpi.com","title":"A Random Forests Approach to Predicting Clean Energy Stock Prices","volume":"14","author":[{"family":"Sadorsky","given":"Perry"}],"issued":{"date-parts":[["2021",2]]}},"suppress-author":true}],"schema":"https://github.com/citation-style-language/schema/raw/master/csl-citation.json"} </w:instrText>
      </w:r>
      <w:r w:rsidR="00997523">
        <w:rPr>
          <w:rFonts w:ascii="Times New Roman" w:hAnsi="Times New Roman" w:cs="Times New Roman"/>
          <w:sz w:val="24"/>
          <w:szCs w:val="24"/>
        </w:rPr>
        <w:fldChar w:fldCharType="separate"/>
      </w:r>
      <w:r w:rsidR="00F31A70" w:rsidRPr="00F31A70">
        <w:rPr>
          <w:rFonts w:ascii="Times New Roman" w:hAnsi="Times New Roman" w:cs="Times New Roman"/>
          <w:sz w:val="24"/>
        </w:rPr>
        <w:t>(2021a)</w:t>
      </w:r>
      <w:r w:rsidR="00997523">
        <w:rPr>
          <w:rFonts w:ascii="Times New Roman" w:hAnsi="Times New Roman" w:cs="Times New Roman"/>
          <w:sz w:val="24"/>
          <w:szCs w:val="24"/>
        </w:rPr>
        <w:fldChar w:fldCharType="end"/>
      </w:r>
      <w:r w:rsidR="00997523">
        <w:rPr>
          <w:rFonts w:ascii="Times New Roman" w:hAnsi="Times New Roman" w:cs="Times New Roman"/>
          <w:sz w:val="24"/>
          <w:szCs w:val="24"/>
        </w:rPr>
        <w:t xml:space="preserve"> and Sadorsky </w:t>
      </w:r>
      <w:r w:rsidR="00997523">
        <w:rPr>
          <w:rFonts w:ascii="Times New Roman" w:hAnsi="Times New Roman" w:cs="Times New Roman"/>
          <w:sz w:val="24"/>
          <w:szCs w:val="24"/>
        </w:rPr>
        <w:fldChar w:fldCharType="begin"/>
      </w:r>
      <w:r w:rsidR="00DE097C">
        <w:rPr>
          <w:rFonts w:ascii="Times New Roman" w:hAnsi="Times New Roman" w:cs="Times New Roman"/>
          <w:sz w:val="24"/>
          <w:szCs w:val="24"/>
        </w:rPr>
        <w:instrText xml:space="preserve"> ADDIN ZOTERO_ITEM CSL_CITATION {"citationID":"u4rtRik4","properties":{"formattedCitation":"(2022)","plainCitation":"(2022)","noteIndex":0},"citationItems":[{"id":3637,"uris":["http://zotero.org/users/5823779/items/T4HMGIJS"],"itemData":{"id":3637,"type":"article-journal","abstract":"Solar energy is one of the fastest growing sources of electricity generation. Forecasting solar stock prices is important for investors and venture capitalists interested in the renewable energy sector. This paper uses tree-based machine learning methods to forecast the direction of solar stock prices. The feature set used in prediction includes a selection of well-known technical indicators, silver prices, silver price volatility, and oil price volatility. The solar stock price direction prediction accuracy of random forests, bagging, support vector machines, and extremely randomized trees is much higher than that of logit. For a forecast horizon of between 8 and 20 days, random forests, bagging, support vector machines, and extremely randomized trees achieve a prediction accuracy greater than 85%. Although not as prominent as technical indicators like MA200, WAD, and MA20, oil price volatility and silver price volatility are also important predictors. An investment portfolio trading strategy based on trading signals generated from the extremely randomized trees stock price direction prediction outperforms a simple buy and hold strategy. These results demonstrate the accuracy of using tree-based machine learning methods to forecast the direction of solar stock prices and adds to the broader literature on using machine learning techniques to forecast stock prices.","container-title":"The North American Journal of Economics and Finance","DOI":"10.1016/j.najef.2022.101705","ISSN":"1062-9408","journalAbbreviation":"The North American Journal of Economics and Finance","language":"en","page":"101705","source":"ScienceDirect","title":"Forecasting solar stock prices using tree-based machine learning classification: How important are silver prices?","title-short":"Forecasting solar stock prices using tree-based machine learning classification","volume":"61","author":[{"family":"Sadorsky","given":"Perry"}],"issued":{"date-parts":[["2022",7,1]]}},"suppress-author":true}],"schema":"https://github.com/citation-style-language/schema/raw/master/csl-citation.json"} </w:instrText>
      </w:r>
      <w:r w:rsidR="00997523">
        <w:rPr>
          <w:rFonts w:ascii="Times New Roman" w:hAnsi="Times New Roman" w:cs="Times New Roman"/>
          <w:sz w:val="24"/>
          <w:szCs w:val="24"/>
        </w:rPr>
        <w:fldChar w:fldCharType="separate"/>
      </w:r>
      <w:r w:rsidR="00F31A70" w:rsidRPr="00F31A70">
        <w:rPr>
          <w:rFonts w:ascii="Times New Roman" w:hAnsi="Times New Roman" w:cs="Times New Roman"/>
          <w:sz w:val="24"/>
        </w:rPr>
        <w:t>(2022)</w:t>
      </w:r>
      <w:r w:rsidR="00997523">
        <w:rPr>
          <w:rFonts w:ascii="Times New Roman" w:hAnsi="Times New Roman" w:cs="Times New Roman"/>
          <w:sz w:val="24"/>
          <w:szCs w:val="24"/>
        </w:rPr>
        <w:fldChar w:fldCharType="end"/>
      </w:r>
      <w:r w:rsidR="00997523">
        <w:rPr>
          <w:rFonts w:ascii="Times New Roman" w:hAnsi="Times New Roman" w:cs="Times New Roman"/>
          <w:sz w:val="24"/>
          <w:szCs w:val="24"/>
        </w:rPr>
        <w:t xml:space="preserve">. </w:t>
      </w:r>
      <w:r w:rsidR="00444491">
        <w:rPr>
          <w:rFonts w:ascii="Times New Roman" w:hAnsi="Times New Roman" w:cs="Times New Roman"/>
          <w:sz w:val="24"/>
          <w:szCs w:val="24"/>
        </w:rPr>
        <w:t xml:space="preserve">Sadorsky </w:t>
      </w:r>
      <w:r w:rsidR="00685C10">
        <w:rPr>
          <w:rFonts w:ascii="Times New Roman" w:hAnsi="Times New Roman" w:cs="Times New Roman"/>
          <w:sz w:val="24"/>
          <w:szCs w:val="24"/>
        </w:rPr>
        <w:fldChar w:fldCharType="begin"/>
      </w:r>
      <w:r w:rsidR="00685C10">
        <w:rPr>
          <w:rFonts w:ascii="Times New Roman" w:hAnsi="Times New Roman" w:cs="Times New Roman"/>
          <w:sz w:val="24"/>
          <w:szCs w:val="24"/>
        </w:rPr>
        <w:instrText xml:space="preserve"> ADDIN ZOTERO_ITEM CSL_CITATION {"citationID":"7JgotWmv","properties":{"formattedCitation":"(2021a)","plainCitation":"(2021a)","noteIndex":0},"citationItems":[{"id":2785,"uris":["http://zotero.org/users/5823779/items/YVFWXLX9"],"itemData":{"id":2785,"type":"article-journal","abstract":"Climate change, green consumers, energy security, fossil fuel divestment, and technological innovation are powerful forces shaping an increased interest towards investing in companies that specialize in clean energy. Well informed investors need reliable methods for predicting the stock prices of clean energy companies. While the existing literature on forecasting stock prices shows how difficult it is to predict stock prices, there is evidence that predicting stock price direction is more successful than predicting actual stock prices. This paper uses the machine learning method of random forests to predict the stock price direction of clean energy exchange traded funds. Some well-known technical indicators are used as features. Decision tree bagging and random forests predictions of stock price direction are more accurate than those obtained from logit models. For a 20-day forecast horizon, tree bagging and random forests methods produce accuracy rates of between 85% and 90% while logit models produce accuracy rates of between 55% and 60%. Tree bagging and random forests are easy to understand and estimate and are useful methods for forecasting the stock price direction of clean energy stocks.","container-title":"Journal of Risk and Financial Management","DOI":"10.3390/jrfm14020048","issue":"2","language":"en","note":"number: 2\npublisher: Multidisciplinary Digital Publishing Institute","page":"48","source":"www.mdpi.com","title":"A Random Forests Approach to Predicting Clean Energy Stock Prices","volume":"14","author":[{"family":"Sadorsky","given":"Perry"}],"issued":{"date-parts":[["2021",2]]}},"suppress-author":true}],"schema":"https://github.com/citation-style-language/schema/raw/master/csl-citation.json"} </w:instrText>
      </w:r>
      <w:r w:rsidR="00685C10">
        <w:rPr>
          <w:rFonts w:ascii="Times New Roman" w:hAnsi="Times New Roman" w:cs="Times New Roman"/>
          <w:sz w:val="24"/>
          <w:szCs w:val="24"/>
        </w:rPr>
        <w:fldChar w:fldCharType="separate"/>
      </w:r>
      <w:r w:rsidR="00F31A70" w:rsidRPr="00F31A70">
        <w:rPr>
          <w:rFonts w:ascii="Times New Roman" w:hAnsi="Times New Roman" w:cs="Times New Roman"/>
          <w:sz w:val="24"/>
        </w:rPr>
        <w:t>(2021a)</w:t>
      </w:r>
      <w:r w:rsidR="00685C10">
        <w:rPr>
          <w:rFonts w:ascii="Times New Roman" w:hAnsi="Times New Roman" w:cs="Times New Roman"/>
          <w:sz w:val="24"/>
          <w:szCs w:val="24"/>
        </w:rPr>
        <w:fldChar w:fldCharType="end"/>
      </w:r>
      <w:r w:rsidR="00685C10">
        <w:rPr>
          <w:rFonts w:ascii="Times New Roman" w:hAnsi="Times New Roman" w:cs="Times New Roman"/>
          <w:sz w:val="24"/>
          <w:szCs w:val="24"/>
        </w:rPr>
        <w:t xml:space="preserve"> uses random forests to predict clean energy stock price direction. He finds that random forests and </w:t>
      </w:r>
      <w:r w:rsidR="00507F77">
        <w:rPr>
          <w:rFonts w:ascii="Times New Roman" w:hAnsi="Times New Roman" w:cs="Times New Roman"/>
          <w:sz w:val="24"/>
          <w:szCs w:val="24"/>
        </w:rPr>
        <w:t>bagging</w:t>
      </w:r>
      <w:r w:rsidR="00685C10">
        <w:rPr>
          <w:rFonts w:ascii="Times New Roman" w:hAnsi="Times New Roman" w:cs="Times New Roman"/>
          <w:sz w:val="24"/>
          <w:szCs w:val="24"/>
        </w:rPr>
        <w:t xml:space="preserve"> have higher accuracy than logit models. The feature space includes technical indicators but does not include business cycle variables. Sadorsky </w:t>
      </w:r>
      <w:r w:rsidR="00685C10">
        <w:rPr>
          <w:rFonts w:ascii="Times New Roman" w:hAnsi="Times New Roman" w:cs="Times New Roman"/>
          <w:sz w:val="24"/>
          <w:szCs w:val="24"/>
        </w:rPr>
        <w:fldChar w:fldCharType="begin"/>
      </w:r>
      <w:r w:rsidR="00685C10">
        <w:rPr>
          <w:rFonts w:ascii="Times New Roman" w:hAnsi="Times New Roman" w:cs="Times New Roman"/>
          <w:sz w:val="24"/>
          <w:szCs w:val="24"/>
        </w:rPr>
        <w:instrText xml:space="preserve"> ADDIN ZOTERO_ITEM CSL_CITATION {"citationID":"KbhMzPvV","properties":{"formattedCitation":"(2022)","plainCitation":"(2022)","noteIndex":0},"citationItems":[{"id":3637,"uris":["http://zotero.org/users/5823779/items/T4HMGIJS"],"itemData":{"id":3637,"type":"article-journal","abstract":"Solar energy is one of the fastest growing sources of electricity generation. Forecasting solar stock prices is important for investors and venture capitalists interested in the renewable energy sector. This paper uses tree-based machine learning methods to forecast the direction of solar stock prices. The feature set used in prediction includes a selection of well-known technical indicators, silver prices, silver price volatility, and oil price volatility. The solar stock price direction prediction accuracy of random forests, bagging, support vector machines, and extremely randomized trees is much higher than that of logit. For a forecast horizon of between 8 and 20 days, random forests, bagging, support vector machines, and extremely randomized trees achieve a prediction accuracy greater than 85%. Although not as prominent as technical indicators like MA200, WAD, and MA20, oil price volatility and silver price volatility are also important predictors. An investment portfolio trading strategy based on trading signals generated from the extremely randomized trees stock price direction prediction outperforms a simple buy and hold strategy. These results demonstrate the accuracy of using tree-based machine learning methods to forecast the direction of solar stock prices and adds to the broader literature on using machine learning techniques to forecast stock prices.","container-title":"The North American Journal of Economics and Finance","DOI":"10.1016/j.najef.2022.101705","ISSN":"1062-9408","journalAbbreviation":"The North American Journal of Economics and Finance","language":"en","page":"101705","source":"ScienceDirect","title":"Forecasting solar stock prices using tree-based machine learning classification: How important are silver prices?","title-short":"Forecasting solar stock prices using tree-based machine learning classification","volume":"61","author":[{"family":"Sadorsky","given":"Perry"}],"issued":{"date-parts":[["2022",7,1]]}},"suppress-author":true}],"schema":"https://github.com/citation-style-language/schema/raw/master/csl-citation.json"} </w:instrText>
      </w:r>
      <w:r w:rsidR="00685C10">
        <w:rPr>
          <w:rFonts w:ascii="Times New Roman" w:hAnsi="Times New Roman" w:cs="Times New Roman"/>
          <w:sz w:val="24"/>
          <w:szCs w:val="24"/>
        </w:rPr>
        <w:fldChar w:fldCharType="separate"/>
      </w:r>
      <w:r w:rsidR="00F31A70" w:rsidRPr="00F31A70">
        <w:rPr>
          <w:rFonts w:ascii="Times New Roman" w:hAnsi="Times New Roman" w:cs="Times New Roman"/>
          <w:sz w:val="24"/>
        </w:rPr>
        <w:t>(2022)</w:t>
      </w:r>
      <w:r w:rsidR="00685C10">
        <w:rPr>
          <w:rFonts w:ascii="Times New Roman" w:hAnsi="Times New Roman" w:cs="Times New Roman"/>
          <w:sz w:val="24"/>
          <w:szCs w:val="24"/>
        </w:rPr>
        <w:fldChar w:fldCharType="end"/>
      </w:r>
      <w:r w:rsidR="00685C10">
        <w:rPr>
          <w:rFonts w:ascii="Times New Roman" w:hAnsi="Times New Roman" w:cs="Times New Roman"/>
          <w:sz w:val="24"/>
          <w:szCs w:val="24"/>
        </w:rPr>
        <w:t xml:space="preserve"> uses random forests and support vector machine to predict solar stock prices. </w:t>
      </w:r>
      <w:r w:rsidR="008F432E">
        <w:rPr>
          <w:rFonts w:ascii="Times New Roman" w:hAnsi="Times New Roman" w:cs="Times New Roman"/>
          <w:sz w:val="24"/>
          <w:szCs w:val="24"/>
        </w:rPr>
        <w:t xml:space="preserve">Random forests, tree </w:t>
      </w:r>
      <w:r w:rsidR="00507F77">
        <w:rPr>
          <w:rFonts w:ascii="Times New Roman" w:hAnsi="Times New Roman" w:cs="Times New Roman"/>
          <w:sz w:val="24"/>
          <w:szCs w:val="24"/>
        </w:rPr>
        <w:t>bagging</w:t>
      </w:r>
      <w:r w:rsidR="008F432E">
        <w:rPr>
          <w:rFonts w:ascii="Times New Roman" w:hAnsi="Times New Roman" w:cs="Times New Roman"/>
          <w:sz w:val="24"/>
          <w:szCs w:val="24"/>
        </w:rPr>
        <w:t xml:space="preserve">, extremely randomized trees, and support vector machine produce more accurate predictions than logit or boosted logit. </w:t>
      </w:r>
      <w:r w:rsidR="001506F2">
        <w:rPr>
          <w:rFonts w:ascii="Times New Roman" w:hAnsi="Times New Roman" w:cs="Times New Roman"/>
          <w:sz w:val="24"/>
          <w:szCs w:val="24"/>
        </w:rPr>
        <w:t xml:space="preserve">The feature space includes </w:t>
      </w:r>
      <w:r w:rsidR="008F432E">
        <w:rPr>
          <w:rFonts w:ascii="Times New Roman" w:hAnsi="Times New Roman" w:cs="Times New Roman"/>
          <w:sz w:val="24"/>
          <w:szCs w:val="24"/>
        </w:rPr>
        <w:t>technical indicators</w:t>
      </w:r>
      <w:r w:rsidR="00BB44C7">
        <w:rPr>
          <w:rFonts w:ascii="Times New Roman" w:hAnsi="Times New Roman" w:cs="Times New Roman"/>
          <w:sz w:val="24"/>
          <w:szCs w:val="24"/>
        </w:rPr>
        <w:t xml:space="preserve"> and the </w:t>
      </w:r>
      <w:r w:rsidR="008F432E">
        <w:rPr>
          <w:rFonts w:ascii="Times New Roman" w:hAnsi="Times New Roman" w:cs="Times New Roman"/>
          <w:sz w:val="24"/>
          <w:szCs w:val="24"/>
        </w:rPr>
        <w:t xml:space="preserve">volatility </w:t>
      </w:r>
      <w:r w:rsidR="00BB44C7">
        <w:rPr>
          <w:rFonts w:ascii="Times New Roman" w:hAnsi="Times New Roman" w:cs="Times New Roman"/>
          <w:sz w:val="24"/>
          <w:szCs w:val="24"/>
        </w:rPr>
        <w:t xml:space="preserve">of oil prices </w:t>
      </w:r>
      <w:r w:rsidR="008F432E">
        <w:rPr>
          <w:rFonts w:ascii="Times New Roman" w:hAnsi="Times New Roman" w:cs="Times New Roman"/>
          <w:sz w:val="24"/>
          <w:szCs w:val="24"/>
        </w:rPr>
        <w:t>and silver price</w:t>
      </w:r>
      <w:r w:rsidR="00BB44C7">
        <w:rPr>
          <w:rFonts w:ascii="Times New Roman" w:hAnsi="Times New Roman" w:cs="Times New Roman"/>
          <w:sz w:val="24"/>
          <w:szCs w:val="24"/>
        </w:rPr>
        <w:t>s</w:t>
      </w:r>
      <w:r w:rsidR="008F432E">
        <w:rPr>
          <w:rFonts w:ascii="Times New Roman" w:hAnsi="Times New Roman" w:cs="Times New Roman"/>
          <w:sz w:val="24"/>
          <w:szCs w:val="24"/>
        </w:rPr>
        <w:t>. The most important predictors</w:t>
      </w:r>
      <w:r w:rsidR="005A1EA3">
        <w:rPr>
          <w:rFonts w:ascii="Times New Roman" w:hAnsi="Times New Roman" w:cs="Times New Roman"/>
          <w:sz w:val="24"/>
          <w:szCs w:val="24"/>
        </w:rPr>
        <w:t xml:space="preserve"> are technical indicators</w:t>
      </w:r>
      <w:r w:rsidR="008F432E">
        <w:rPr>
          <w:rFonts w:ascii="Times New Roman" w:hAnsi="Times New Roman" w:cs="Times New Roman"/>
          <w:sz w:val="24"/>
          <w:szCs w:val="24"/>
        </w:rPr>
        <w:t xml:space="preserve">. </w:t>
      </w:r>
      <w:r w:rsidR="005A1EA3">
        <w:rPr>
          <w:rFonts w:ascii="Times New Roman" w:hAnsi="Times New Roman" w:cs="Times New Roman"/>
          <w:sz w:val="24"/>
          <w:szCs w:val="24"/>
        </w:rPr>
        <w:t>S</w:t>
      </w:r>
      <w:r w:rsidR="008F432E">
        <w:rPr>
          <w:rFonts w:ascii="Times New Roman" w:hAnsi="Times New Roman" w:cs="Times New Roman"/>
          <w:sz w:val="24"/>
          <w:szCs w:val="24"/>
        </w:rPr>
        <w:t xml:space="preserve">ilver price volatility </w:t>
      </w:r>
      <w:r w:rsidR="005A1EA3">
        <w:rPr>
          <w:rFonts w:ascii="Times New Roman" w:hAnsi="Times New Roman" w:cs="Times New Roman"/>
          <w:sz w:val="24"/>
          <w:szCs w:val="24"/>
        </w:rPr>
        <w:t xml:space="preserve">and oil price volatility </w:t>
      </w:r>
      <w:r w:rsidR="008F432E">
        <w:rPr>
          <w:rFonts w:ascii="Times New Roman" w:hAnsi="Times New Roman" w:cs="Times New Roman"/>
          <w:sz w:val="24"/>
          <w:szCs w:val="24"/>
        </w:rPr>
        <w:t xml:space="preserve">rank in the top third. Neither of these two studies include a more comprehensive </w:t>
      </w:r>
      <w:r w:rsidR="007F3C57">
        <w:rPr>
          <w:rFonts w:ascii="Times New Roman" w:hAnsi="Times New Roman" w:cs="Times New Roman"/>
          <w:sz w:val="24"/>
          <w:szCs w:val="24"/>
        </w:rPr>
        <w:t xml:space="preserve">set of market </w:t>
      </w:r>
      <w:r w:rsidR="006B7756">
        <w:rPr>
          <w:rFonts w:ascii="Times New Roman" w:hAnsi="Times New Roman" w:cs="Times New Roman"/>
          <w:sz w:val="24"/>
          <w:szCs w:val="24"/>
        </w:rPr>
        <w:t xml:space="preserve">volatility </w:t>
      </w:r>
      <w:r w:rsidR="005D4FA0">
        <w:rPr>
          <w:rFonts w:ascii="Times New Roman" w:hAnsi="Times New Roman" w:cs="Times New Roman"/>
          <w:sz w:val="24"/>
          <w:szCs w:val="24"/>
        </w:rPr>
        <w:t>or</w:t>
      </w:r>
      <w:r w:rsidR="007F3C57">
        <w:rPr>
          <w:rFonts w:ascii="Times New Roman" w:hAnsi="Times New Roman" w:cs="Times New Roman"/>
          <w:sz w:val="24"/>
          <w:szCs w:val="24"/>
        </w:rPr>
        <w:t xml:space="preserve"> policy uncertainty variables. </w:t>
      </w:r>
    </w:p>
    <w:p w14:paraId="6C3A2425" w14:textId="5521D86E" w:rsidR="008A2485" w:rsidRPr="000009C3" w:rsidRDefault="008A2485" w:rsidP="00EC0FBB">
      <w:pPr>
        <w:spacing w:line="480" w:lineRule="auto"/>
        <w:rPr>
          <w:rFonts w:ascii="Times New Roman" w:hAnsi="Times New Roman" w:cs="Times New Roman"/>
          <w:sz w:val="24"/>
          <w:szCs w:val="24"/>
        </w:rPr>
      </w:pPr>
      <w:r>
        <w:rPr>
          <w:rFonts w:ascii="Times New Roman" w:hAnsi="Times New Roman" w:cs="Times New Roman"/>
          <w:sz w:val="24"/>
          <w:szCs w:val="24"/>
        </w:rPr>
        <w:tab/>
      </w:r>
      <w:r w:rsidR="00BB44C7">
        <w:rPr>
          <w:rFonts w:ascii="Times New Roman" w:hAnsi="Times New Roman" w:cs="Times New Roman"/>
          <w:sz w:val="24"/>
          <w:szCs w:val="24"/>
        </w:rPr>
        <w:t>Several important findings emerge from t</w:t>
      </w:r>
      <w:r>
        <w:rPr>
          <w:rFonts w:ascii="Times New Roman" w:hAnsi="Times New Roman" w:cs="Times New Roman"/>
          <w:sz w:val="24"/>
          <w:szCs w:val="24"/>
        </w:rPr>
        <w:t>he analysis</w:t>
      </w:r>
      <w:r w:rsidR="00CB237F">
        <w:rPr>
          <w:rFonts w:ascii="Times New Roman" w:hAnsi="Times New Roman" w:cs="Times New Roman"/>
          <w:sz w:val="24"/>
          <w:szCs w:val="24"/>
        </w:rPr>
        <w:t xml:space="preserve"> reported in this paper. First, random forests, </w:t>
      </w:r>
      <w:r w:rsidR="009E7DA1">
        <w:rPr>
          <w:rFonts w:ascii="Times New Roman" w:hAnsi="Times New Roman" w:cs="Times New Roman"/>
          <w:sz w:val="24"/>
          <w:szCs w:val="24"/>
        </w:rPr>
        <w:t xml:space="preserve">extremely randomized trees, </w:t>
      </w:r>
      <w:r w:rsidR="00507F77">
        <w:rPr>
          <w:rFonts w:ascii="Times New Roman" w:hAnsi="Times New Roman" w:cs="Times New Roman"/>
          <w:sz w:val="24"/>
          <w:szCs w:val="24"/>
        </w:rPr>
        <w:t>stochastic gradient boosting</w:t>
      </w:r>
      <w:r w:rsidR="00CB237F">
        <w:rPr>
          <w:rFonts w:ascii="Times New Roman" w:hAnsi="Times New Roman" w:cs="Times New Roman"/>
          <w:sz w:val="24"/>
          <w:szCs w:val="24"/>
        </w:rPr>
        <w:t xml:space="preserve">, </w:t>
      </w:r>
      <w:r w:rsidR="009E7DA1">
        <w:rPr>
          <w:rFonts w:ascii="Times New Roman" w:hAnsi="Times New Roman" w:cs="Times New Roman"/>
          <w:sz w:val="24"/>
          <w:szCs w:val="24"/>
        </w:rPr>
        <w:t xml:space="preserve">and </w:t>
      </w:r>
      <w:r w:rsidR="008F5D23">
        <w:rPr>
          <w:rFonts w:ascii="Times New Roman" w:hAnsi="Times New Roman" w:cs="Times New Roman"/>
          <w:sz w:val="24"/>
          <w:szCs w:val="24"/>
        </w:rPr>
        <w:t>support vector machines</w:t>
      </w:r>
      <w:r w:rsidR="00CB237F">
        <w:rPr>
          <w:rFonts w:ascii="Times New Roman" w:hAnsi="Times New Roman" w:cs="Times New Roman"/>
          <w:sz w:val="24"/>
          <w:szCs w:val="24"/>
        </w:rPr>
        <w:t xml:space="preserve"> </w:t>
      </w:r>
      <w:r w:rsidR="00C14F86">
        <w:rPr>
          <w:rFonts w:ascii="Times New Roman" w:hAnsi="Times New Roman" w:cs="Times New Roman"/>
          <w:sz w:val="24"/>
          <w:szCs w:val="24"/>
        </w:rPr>
        <w:t>produce</w:t>
      </w:r>
      <w:r w:rsidR="002A0137">
        <w:rPr>
          <w:rFonts w:ascii="Times New Roman" w:hAnsi="Times New Roman" w:cs="Times New Roman"/>
          <w:sz w:val="24"/>
          <w:szCs w:val="24"/>
        </w:rPr>
        <w:t xml:space="preserve"> </w:t>
      </w:r>
      <w:r w:rsidR="00CB237F">
        <w:rPr>
          <w:rFonts w:ascii="Times New Roman" w:hAnsi="Times New Roman" w:cs="Times New Roman"/>
          <w:sz w:val="24"/>
          <w:szCs w:val="24"/>
        </w:rPr>
        <w:t xml:space="preserve">much higher </w:t>
      </w:r>
      <w:r w:rsidR="002A0137">
        <w:rPr>
          <w:rFonts w:ascii="Times New Roman" w:hAnsi="Times New Roman" w:cs="Times New Roman"/>
          <w:sz w:val="24"/>
          <w:szCs w:val="24"/>
        </w:rPr>
        <w:t xml:space="preserve">accuracy </w:t>
      </w:r>
      <w:r w:rsidR="00CB237F">
        <w:rPr>
          <w:rFonts w:ascii="Times New Roman" w:hAnsi="Times New Roman" w:cs="Times New Roman"/>
          <w:sz w:val="24"/>
          <w:szCs w:val="24"/>
        </w:rPr>
        <w:t xml:space="preserve">than that of </w:t>
      </w:r>
      <w:r w:rsidR="005D4FA0">
        <w:rPr>
          <w:rFonts w:ascii="Times New Roman" w:hAnsi="Times New Roman" w:cs="Times New Roman"/>
          <w:sz w:val="24"/>
          <w:szCs w:val="24"/>
        </w:rPr>
        <w:t>Lasso</w:t>
      </w:r>
      <w:r w:rsidR="007F5B41">
        <w:rPr>
          <w:rFonts w:ascii="Times New Roman" w:hAnsi="Times New Roman" w:cs="Times New Roman"/>
          <w:sz w:val="24"/>
          <w:szCs w:val="24"/>
        </w:rPr>
        <w:t xml:space="preserve"> </w:t>
      </w:r>
      <w:r w:rsidR="00901E9B">
        <w:rPr>
          <w:rFonts w:ascii="Times New Roman" w:hAnsi="Times New Roman" w:cs="Times New Roman"/>
          <w:sz w:val="24"/>
          <w:szCs w:val="24"/>
        </w:rPr>
        <w:t>or</w:t>
      </w:r>
      <w:r w:rsidR="007F5B41">
        <w:rPr>
          <w:rFonts w:ascii="Times New Roman" w:hAnsi="Times New Roman" w:cs="Times New Roman"/>
          <w:sz w:val="24"/>
          <w:szCs w:val="24"/>
        </w:rPr>
        <w:t xml:space="preserve"> Naïve Bayes</w:t>
      </w:r>
      <w:r w:rsidR="002A0137">
        <w:rPr>
          <w:rFonts w:ascii="Times New Roman" w:hAnsi="Times New Roman" w:cs="Times New Roman"/>
          <w:sz w:val="24"/>
          <w:szCs w:val="24"/>
        </w:rPr>
        <w:t xml:space="preserve"> when predicting the direction of clean energy equity price movements</w:t>
      </w:r>
      <w:r w:rsidR="00CB237F">
        <w:rPr>
          <w:rFonts w:ascii="Times New Roman" w:hAnsi="Times New Roman" w:cs="Times New Roman"/>
          <w:sz w:val="24"/>
          <w:szCs w:val="24"/>
        </w:rPr>
        <w:t xml:space="preserve">. </w:t>
      </w:r>
      <w:r w:rsidR="009E7DA1">
        <w:rPr>
          <w:rFonts w:ascii="Times New Roman" w:hAnsi="Times New Roman" w:cs="Times New Roman"/>
          <w:sz w:val="24"/>
          <w:szCs w:val="24"/>
        </w:rPr>
        <w:t>Th</w:t>
      </w:r>
      <w:r w:rsidR="006270F2">
        <w:rPr>
          <w:rFonts w:ascii="Times New Roman" w:hAnsi="Times New Roman" w:cs="Times New Roman"/>
          <w:sz w:val="24"/>
          <w:szCs w:val="24"/>
        </w:rPr>
        <w:t>e</w:t>
      </w:r>
      <w:r w:rsidR="009E7DA1">
        <w:rPr>
          <w:rFonts w:ascii="Times New Roman" w:hAnsi="Times New Roman" w:cs="Times New Roman"/>
          <w:sz w:val="24"/>
          <w:szCs w:val="24"/>
        </w:rPr>
        <w:t>s</w:t>
      </w:r>
      <w:r w:rsidR="006270F2">
        <w:rPr>
          <w:rFonts w:ascii="Times New Roman" w:hAnsi="Times New Roman" w:cs="Times New Roman"/>
          <w:sz w:val="24"/>
          <w:szCs w:val="24"/>
        </w:rPr>
        <w:t>e results</w:t>
      </w:r>
      <w:r w:rsidR="009E7DA1">
        <w:rPr>
          <w:rFonts w:ascii="Times New Roman" w:hAnsi="Times New Roman" w:cs="Times New Roman"/>
          <w:sz w:val="24"/>
          <w:szCs w:val="24"/>
        </w:rPr>
        <w:t xml:space="preserve"> </w:t>
      </w:r>
      <w:r w:rsidR="005A1EA3">
        <w:rPr>
          <w:rFonts w:ascii="Times New Roman" w:hAnsi="Times New Roman" w:cs="Times New Roman"/>
          <w:sz w:val="24"/>
          <w:szCs w:val="24"/>
        </w:rPr>
        <w:t xml:space="preserve">are consistent with </w:t>
      </w:r>
      <w:r w:rsidR="009E7DA1">
        <w:rPr>
          <w:rFonts w:ascii="Times New Roman" w:hAnsi="Times New Roman" w:cs="Times New Roman"/>
          <w:sz w:val="24"/>
          <w:szCs w:val="24"/>
        </w:rPr>
        <w:t xml:space="preserve">the literature </w:t>
      </w:r>
      <w:r w:rsidR="005A1EA3">
        <w:rPr>
          <w:rFonts w:ascii="Times New Roman" w:hAnsi="Times New Roman" w:cs="Times New Roman"/>
          <w:sz w:val="24"/>
          <w:szCs w:val="24"/>
        </w:rPr>
        <w:t>show</w:t>
      </w:r>
      <w:r w:rsidR="0091004C">
        <w:rPr>
          <w:rFonts w:ascii="Times New Roman" w:hAnsi="Times New Roman" w:cs="Times New Roman"/>
          <w:sz w:val="24"/>
          <w:szCs w:val="24"/>
        </w:rPr>
        <w:t xml:space="preserve">ing the high </w:t>
      </w:r>
      <w:r w:rsidR="00CB237F">
        <w:rPr>
          <w:rFonts w:ascii="Times New Roman" w:hAnsi="Times New Roman" w:cs="Times New Roman"/>
          <w:sz w:val="24"/>
          <w:szCs w:val="24"/>
        </w:rPr>
        <w:t>prediction accuracy of machine learning models</w:t>
      </w:r>
      <w:r w:rsidR="00727777">
        <w:rPr>
          <w:rFonts w:ascii="Times New Roman" w:hAnsi="Times New Roman" w:cs="Times New Roman"/>
          <w:sz w:val="24"/>
          <w:szCs w:val="24"/>
        </w:rPr>
        <w:t xml:space="preserve"> </w:t>
      </w:r>
      <w:r w:rsidR="005A1EA3">
        <w:rPr>
          <w:rFonts w:ascii="Times New Roman" w:hAnsi="Times New Roman" w:cs="Times New Roman"/>
          <w:sz w:val="24"/>
          <w:szCs w:val="24"/>
        </w:rPr>
        <w:t xml:space="preserve">for </w:t>
      </w:r>
      <w:r w:rsidR="006270F2">
        <w:rPr>
          <w:rFonts w:ascii="Times New Roman" w:hAnsi="Times New Roman" w:cs="Times New Roman"/>
          <w:sz w:val="24"/>
          <w:szCs w:val="24"/>
        </w:rPr>
        <w:t>predicting stock price direction</w:t>
      </w:r>
      <w:r w:rsidR="00CB237F">
        <w:rPr>
          <w:rFonts w:ascii="Times New Roman" w:hAnsi="Times New Roman" w:cs="Times New Roman"/>
          <w:sz w:val="24"/>
          <w:szCs w:val="24"/>
        </w:rPr>
        <w:t xml:space="preserve">. </w:t>
      </w:r>
      <w:r w:rsidR="00EF39A0">
        <w:rPr>
          <w:rFonts w:ascii="Times New Roman" w:hAnsi="Times New Roman" w:cs="Times New Roman"/>
          <w:sz w:val="24"/>
          <w:szCs w:val="24"/>
        </w:rPr>
        <w:t>Second</w:t>
      </w:r>
      <w:r w:rsidR="00CB237F">
        <w:rPr>
          <w:rFonts w:ascii="Times New Roman" w:hAnsi="Times New Roman" w:cs="Times New Roman"/>
          <w:sz w:val="24"/>
          <w:szCs w:val="24"/>
        </w:rPr>
        <w:t xml:space="preserve">, </w:t>
      </w:r>
      <w:r w:rsidR="009E7DA1">
        <w:rPr>
          <w:rFonts w:ascii="Times New Roman" w:hAnsi="Times New Roman" w:cs="Times New Roman"/>
          <w:sz w:val="24"/>
          <w:szCs w:val="24"/>
        </w:rPr>
        <w:t xml:space="preserve">the analysis of this paper finds that </w:t>
      </w:r>
      <w:r w:rsidR="00CB237F">
        <w:rPr>
          <w:rFonts w:ascii="Times New Roman" w:hAnsi="Times New Roman" w:cs="Times New Roman"/>
          <w:sz w:val="24"/>
          <w:szCs w:val="24"/>
        </w:rPr>
        <w:t xml:space="preserve">technical indicators </w:t>
      </w:r>
      <w:r w:rsidR="00E170EF">
        <w:rPr>
          <w:rFonts w:ascii="Times New Roman" w:hAnsi="Times New Roman" w:cs="Times New Roman"/>
          <w:sz w:val="24"/>
          <w:szCs w:val="24"/>
        </w:rPr>
        <w:t xml:space="preserve">like MA200, WAD, and MA20 </w:t>
      </w:r>
      <w:r w:rsidR="00CB237F">
        <w:rPr>
          <w:rFonts w:ascii="Times New Roman" w:hAnsi="Times New Roman" w:cs="Times New Roman"/>
          <w:sz w:val="24"/>
          <w:szCs w:val="24"/>
        </w:rPr>
        <w:t xml:space="preserve">are important </w:t>
      </w:r>
      <w:r w:rsidR="009E7DA1">
        <w:rPr>
          <w:rFonts w:ascii="Times New Roman" w:hAnsi="Times New Roman" w:cs="Times New Roman"/>
          <w:sz w:val="24"/>
          <w:szCs w:val="24"/>
        </w:rPr>
        <w:t xml:space="preserve">features for </w:t>
      </w:r>
      <w:r w:rsidR="00CB237F">
        <w:rPr>
          <w:rFonts w:ascii="Times New Roman" w:hAnsi="Times New Roman" w:cs="Times New Roman"/>
          <w:sz w:val="24"/>
          <w:szCs w:val="24"/>
        </w:rPr>
        <w:t>predict</w:t>
      </w:r>
      <w:r w:rsidR="009E7DA1">
        <w:rPr>
          <w:rFonts w:ascii="Times New Roman" w:hAnsi="Times New Roman" w:cs="Times New Roman"/>
          <w:sz w:val="24"/>
          <w:szCs w:val="24"/>
        </w:rPr>
        <w:t>ing</w:t>
      </w:r>
      <w:r w:rsidR="00CB237F">
        <w:rPr>
          <w:rFonts w:ascii="Times New Roman" w:hAnsi="Times New Roman" w:cs="Times New Roman"/>
          <w:sz w:val="24"/>
          <w:szCs w:val="24"/>
        </w:rPr>
        <w:t xml:space="preserve"> </w:t>
      </w:r>
      <w:r w:rsidR="00934436">
        <w:rPr>
          <w:rFonts w:ascii="Times New Roman" w:hAnsi="Times New Roman" w:cs="Times New Roman"/>
          <w:sz w:val="24"/>
          <w:szCs w:val="24"/>
        </w:rPr>
        <w:t xml:space="preserve">the prices of </w:t>
      </w:r>
      <w:r w:rsidR="009F31DC">
        <w:rPr>
          <w:rFonts w:ascii="Times New Roman" w:hAnsi="Times New Roman" w:cs="Times New Roman"/>
          <w:sz w:val="24"/>
          <w:szCs w:val="24"/>
        </w:rPr>
        <w:t>clean energy</w:t>
      </w:r>
      <w:r w:rsidR="00CB237F">
        <w:rPr>
          <w:rFonts w:ascii="Times New Roman" w:hAnsi="Times New Roman" w:cs="Times New Roman"/>
          <w:sz w:val="24"/>
          <w:szCs w:val="24"/>
        </w:rPr>
        <w:t xml:space="preserve"> stocks. </w:t>
      </w:r>
      <w:r w:rsidR="005A1EA3">
        <w:rPr>
          <w:rFonts w:ascii="Times New Roman" w:hAnsi="Times New Roman" w:cs="Times New Roman"/>
          <w:sz w:val="24"/>
          <w:szCs w:val="24"/>
        </w:rPr>
        <w:t xml:space="preserve">This result is consistent with the literature showing the importance of technical indicators for forecasting stock prices. </w:t>
      </w:r>
      <w:r w:rsidR="00E170EF">
        <w:rPr>
          <w:rFonts w:ascii="Times New Roman" w:hAnsi="Times New Roman" w:cs="Times New Roman"/>
          <w:sz w:val="24"/>
          <w:szCs w:val="24"/>
        </w:rPr>
        <w:t>T</w:t>
      </w:r>
      <w:r w:rsidR="00E30F60">
        <w:rPr>
          <w:rFonts w:ascii="Times New Roman" w:hAnsi="Times New Roman" w:cs="Times New Roman"/>
          <w:sz w:val="24"/>
          <w:szCs w:val="24"/>
        </w:rPr>
        <w:t>h</w:t>
      </w:r>
      <w:r w:rsidR="00B93F40">
        <w:rPr>
          <w:rFonts w:ascii="Times New Roman" w:hAnsi="Times New Roman" w:cs="Times New Roman"/>
          <w:sz w:val="24"/>
          <w:szCs w:val="24"/>
        </w:rPr>
        <w:t>e</w:t>
      </w:r>
      <w:r w:rsidR="00E30F60">
        <w:rPr>
          <w:rFonts w:ascii="Times New Roman" w:hAnsi="Times New Roman" w:cs="Times New Roman"/>
          <w:sz w:val="24"/>
          <w:szCs w:val="24"/>
        </w:rPr>
        <w:t xml:space="preserve"> </w:t>
      </w:r>
      <w:r w:rsidR="00B93F40">
        <w:rPr>
          <w:rFonts w:ascii="Times New Roman" w:hAnsi="Times New Roman" w:cs="Times New Roman"/>
          <w:sz w:val="24"/>
          <w:szCs w:val="24"/>
        </w:rPr>
        <w:t>stock market volatility (</w:t>
      </w:r>
      <w:r w:rsidR="00E30F60">
        <w:rPr>
          <w:rFonts w:ascii="Times New Roman" w:hAnsi="Times New Roman" w:cs="Times New Roman"/>
          <w:sz w:val="24"/>
          <w:szCs w:val="24"/>
        </w:rPr>
        <w:t>VIX</w:t>
      </w:r>
      <w:r w:rsidR="000A364F">
        <w:rPr>
          <w:rFonts w:ascii="Times New Roman" w:hAnsi="Times New Roman" w:cs="Times New Roman"/>
          <w:sz w:val="24"/>
          <w:szCs w:val="24"/>
        </w:rPr>
        <w:t>)</w:t>
      </w:r>
      <w:r w:rsidR="00E30F60">
        <w:rPr>
          <w:rFonts w:ascii="Times New Roman" w:hAnsi="Times New Roman" w:cs="Times New Roman"/>
          <w:sz w:val="24"/>
          <w:szCs w:val="24"/>
        </w:rPr>
        <w:t xml:space="preserve"> and </w:t>
      </w:r>
      <w:r w:rsidR="006E5471">
        <w:rPr>
          <w:rFonts w:ascii="Times New Roman" w:hAnsi="Times New Roman" w:cs="Times New Roman"/>
          <w:sz w:val="24"/>
          <w:szCs w:val="24"/>
        </w:rPr>
        <w:t xml:space="preserve">oil price volatility </w:t>
      </w:r>
      <w:r w:rsidR="00B93F40">
        <w:rPr>
          <w:rFonts w:ascii="Times New Roman" w:hAnsi="Times New Roman" w:cs="Times New Roman"/>
          <w:sz w:val="24"/>
          <w:szCs w:val="24"/>
        </w:rPr>
        <w:t xml:space="preserve">(OVX) </w:t>
      </w:r>
      <w:r w:rsidR="00E30F60">
        <w:rPr>
          <w:rFonts w:ascii="Times New Roman" w:hAnsi="Times New Roman" w:cs="Times New Roman"/>
          <w:sz w:val="24"/>
          <w:szCs w:val="24"/>
        </w:rPr>
        <w:t>are</w:t>
      </w:r>
      <w:r w:rsidR="00CB237F">
        <w:rPr>
          <w:rFonts w:ascii="Times New Roman" w:hAnsi="Times New Roman" w:cs="Times New Roman"/>
          <w:sz w:val="24"/>
          <w:szCs w:val="24"/>
        </w:rPr>
        <w:t xml:space="preserve"> important </w:t>
      </w:r>
      <w:r w:rsidR="009F31DC">
        <w:rPr>
          <w:rFonts w:ascii="Times New Roman" w:hAnsi="Times New Roman" w:cs="Times New Roman"/>
          <w:sz w:val="24"/>
          <w:szCs w:val="24"/>
        </w:rPr>
        <w:t xml:space="preserve">non-technical </w:t>
      </w:r>
      <w:r w:rsidR="00CB237F">
        <w:rPr>
          <w:rFonts w:ascii="Times New Roman" w:hAnsi="Times New Roman" w:cs="Times New Roman"/>
          <w:sz w:val="24"/>
          <w:szCs w:val="24"/>
        </w:rPr>
        <w:lastRenderedPageBreak/>
        <w:t>predictor</w:t>
      </w:r>
      <w:r w:rsidR="006E5471">
        <w:rPr>
          <w:rFonts w:ascii="Times New Roman" w:hAnsi="Times New Roman" w:cs="Times New Roman"/>
          <w:sz w:val="24"/>
          <w:szCs w:val="24"/>
        </w:rPr>
        <w:t>s</w:t>
      </w:r>
      <w:r w:rsidR="00CB237F">
        <w:rPr>
          <w:rFonts w:ascii="Times New Roman" w:hAnsi="Times New Roman" w:cs="Times New Roman"/>
          <w:sz w:val="24"/>
          <w:szCs w:val="24"/>
        </w:rPr>
        <w:t xml:space="preserve">. </w:t>
      </w:r>
      <w:r w:rsidR="00EF39A0">
        <w:rPr>
          <w:rFonts w:ascii="Times New Roman" w:hAnsi="Times New Roman" w:cs="Times New Roman"/>
          <w:sz w:val="24"/>
          <w:szCs w:val="24"/>
        </w:rPr>
        <w:t>Third</w:t>
      </w:r>
      <w:r w:rsidR="003E6F27">
        <w:rPr>
          <w:rFonts w:ascii="Times New Roman" w:hAnsi="Times New Roman" w:cs="Times New Roman"/>
          <w:sz w:val="24"/>
          <w:szCs w:val="24"/>
        </w:rPr>
        <w:t xml:space="preserve">, at the </w:t>
      </w:r>
      <w:proofErr w:type="gramStart"/>
      <w:r w:rsidR="003E6F27">
        <w:rPr>
          <w:rFonts w:ascii="Times New Roman" w:hAnsi="Times New Roman" w:cs="Times New Roman"/>
          <w:sz w:val="24"/>
          <w:szCs w:val="24"/>
        </w:rPr>
        <w:t>1</w:t>
      </w:r>
      <w:r w:rsidR="00C055A3">
        <w:rPr>
          <w:rFonts w:ascii="Times New Roman" w:hAnsi="Times New Roman" w:cs="Times New Roman"/>
          <w:sz w:val="24"/>
          <w:szCs w:val="24"/>
        </w:rPr>
        <w:t>5</w:t>
      </w:r>
      <w:r w:rsidR="003E6F27">
        <w:rPr>
          <w:rFonts w:ascii="Times New Roman" w:hAnsi="Times New Roman" w:cs="Times New Roman"/>
          <w:sz w:val="24"/>
          <w:szCs w:val="24"/>
        </w:rPr>
        <w:t xml:space="preserve"> day</w:t>
      </w:r>
      <w:proofErr w:type="gramEnd"/>
      <w:r w:rsidR="003E6F27">
        <w:rPr>
          <w:rFonts w:ascii="Times New Roman" w:hAnsi="Times New Roman" w:cs="Times New Roman"/>
          <w:sz w:val="24"/>
          <w:szCs w:val="24"/>
        </w:rPr>
        <w:t xml:space="preserve"> forecast horizon</w:t>
      </w:r>
      <w:r w:rsidR="00727777">
        <w:rPr>
          <w:rFonts w:ascii="Times New Roman" w:hAnsi="Times New Roman" w:cs="Times New Roman"/>
          <w:sz w:val="24"/>
          <w:szCs w:val="24"/>
        </w:rPr>
        <w:t xml:space="preserve">, the most important features </w:t>
      </w:r>
      <w:r w:rsidR="003E6F27">
        <w:rPr>
          <w:rFonts w:ascii="Times New Roman" w:hAnsi="Times New Roman" w:cs="Times New Roman"/>
          <w:sz w:val="24"/>
          <w:szCs w:val="24"/>
        </w:rPr>
        <w:t>are</w:t>
      </w:r>
      <w:r w:rsidR="00A56CF2">
        <w:rPr>
          <w:rFonts w:ascii="Times New Roman" w:hAnsi="Times New Roman" w:cs="Times New Roman"/>
          <w:sz w:val="24"/>
          <w:szCs w:val="24"/>
        </w:rPr>
        <w:t>, in most cases,</w:t>
      </w:r>
      <w:r w:rsidR="003E6F27">
        <w:rPr>
          <w:rFonts w:ascii="Times New Roman" w:hAnsi="Times New Roman" w:cs="Times New Roman"/>
          <w:sz w:val="24"/>
          <w:szCs w:val="24"/>
        </w:rPr>
        <w:t xml:space="preserve"> also the most important </w:t>
      </w:r>
      <w:r w:rsidR="00A56CF2">
        <w:rPr>
          <w:rFonts w:ascii="Times New Roman" w:hAnsi="Times New Roman" w:cs="Times New Roman"/>
          <w:sz w:val="24"/>
          <w:szCs w:val="24"/>
        </w:rPr>
        <w:t>feature</w:t>
      </w:r>
      <w:r w:rsidR="003E6F27">
        <w:rPr>
          <w:rFonts w:ascii="Times New Roman" w:hAnsi="Times New Roman" w:cs="Times New Roman"/>
          <w:sz w:val="24"/>
          <w:szCs w:val="24"/>
        </w:rPr>
        <w:t>s at the 20 day forecast horizon. This is important since the highest prediction accuracy is observed between 1</w:t>
      </w:r>
      <w:r w:rsidR="00C055A3">
        <w:rPr>
          <w:rFonts w:ascii="Times New Roman" w:hAnsi="Times New Roman" w:cs="Times New Roman"/>
          <w:sz w:val="24"/>
          <w:szCs w:val="24"/>
        </w:rPr>
        <w:t>5</w:t>
      </w:r>
      <w:r w:rsidR="003E6F27">
        <w:rPr>
          <w:rFonts w:ascii="Times New Roman" w:hAnsi="Times New Roman" w:cs="Times New Roman"/>
          <w:sz w:val="24"/>
          <w:szCs w:val="24"/>
        </w:rPr>
        <w:t xml:space="preserve"> and 20 days.</w:t>
      </w:r>
    </w:p>
    <w:p w14:paraId="520DEE78" w14:textId="16E64C77" w:rsidR="00A31F3E" w:rsidRDefault="00A31F3E" w:rsidP="004943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paper is organized as follows. The </w:t>
      </w:r>
      <w:r w:rsidR="009E7DA1">
        <w:rPr>
          <w:rFonts w:ascii="Times New Roman" w:hAnsi="Times New Roman" w:cs="Times New Roman"/>
          <w:sz w:val="24"/>
          <w:szCs w:val="24"/>
        </w:rPr>
        <w:t>next</w:t>
      </w:r>
      <w:r>
        <w:rPr>
          <w:rFonts w:ascii="Times New Roman" w:hAnsi="Times New Roman" w:cs="Times New Roman"/>
          <w:sz w:val="24"/>
          <w:szCs w:val="24"/>
        </w:rPr>
        <w:t xml:space="preserve"> section </w:t>
      </w:r>
      <w:r w:rsidR="00F559EB">
        <w:rPr>
          <w:rFonts w:ascii="Times New Roman" w:hAnsi="Times New Roman" w:cs="Times New Roman"/>
          <w:sz w:val="24"/>
          <w:szCs w:val="24"/>
        </w:rPr>
        <w:t xml:space="preserve">of the paper </w:t>
      </w:r>
      <w:r>
        <w:rPr>
          <w:rFonts w:ascii="Times New Roman" w:hAnsi="Times New Roman" w:cs="Times New Roman"/>
          <w:sz w:val="24"/>
          <w:szCs w:val="24"/>
        </w:rPr>
        <w:t>present</w:t>
      </w:r>
      <w:r w:rsidR="00F615E4">
        <w:rPr>
          <w:rFonts w:ascii="Times New Roman" w:hAnsi="Times New Roman" w:cs="Times New Roman"/>
          <w:sz w:val="24"/>
          <w:szCs w:val="24"/>
        </w:rPr>
        <w:t>s</w:t>
      </w:r>
      <w:r>
        <w:rPr>
          <w:rFonts w:ascii="Times New Roman" w:hAnsi="Times New Roman" w:cs="Times New Roman"/>
          <w:sz w:val="24"/>
          <w:szCs w:val="24"/>
        </w:rPr>
        <w:t xml:space="preserve"> the </w:t>
      </w:r>
      <w:r w:rsidR="005164AC">
        <w:rPr>
          <w:rFonts w:ascii="Times New Roman" w:hAnsi="Times New Roman" w:cs="Times New Roman"/>
          <w:sz w:val="24"/>
          <w:szCs w:val="24"/>
        </w:rPr>
        <w:t>background literature</w:t>
      </w:r>
      <w:r w:rsidR="00F615E4">
        <w:rPr>
          <w:rFonts w:ascii="Times New Roman" w:hAnsi="Times New Roman" w:cs="Times New Roman"/>
          <w:sz w:val="24"/>
          <w:szCs w:val="24"/>
        </w:rPr>
        <w:t>. Section 3 presents the</w:t>
      </w:r>
      <w:r w:rsidR="005164AC">
        <w:rPr>
          <w:rFonts w:ascii="Times New Roman" w:hAnsi="Times New Roman" w:cs="Times New Roman"/>
          <w:sz w:val="24"/>
          <w:szCs w:val="24"/>
        </w:rPr>
        <w:t xml:space="preserve"> </w:t>
      </w:r>
      <w:r w:rsidR="00F615E4">
        <w:rPr>
          <w:rFonts w:ascii="Times New Roman" w:hAnsi="Times New Roman" w:cs="Times New Roman"/>
          <w:sz w:val="24"/>
          <w:szCs w:val="24"/>
        </w:rPr>
        <w:t xml:space="preserve">machine learning </w:t>
      </w:r>
      <w:r>
        <w:rPr>
          <w:rFonts w:ascii="Times New Roman" w:hAnsi="Times New Roman" w:cs="Times New Roman"/>
          <w:sz w:val="24"/>
          <w:szCs w:val="24"/>
        </w:rPr>
        <w:t>methods</w:t>
      </w:r>
      <w:r w:rsidR="00F615E4">
        <w:rPr>
          <w:rFonts w:ascii="Times New Roman" w:hAnsi="Times New Roman" w:cs="Times New Roman"/>
          <w:sz w:val="24"/>
          <w:szCs w:val="24"/>
        </w:rPr>
        <w:t xml:space="preserve"> while Section 4 describes the</w:t>
      </w:r>
      <w:r>
        <w:rPr>
          <w:rFonts w:ascii="Times New Roman" w:hAnsi="Times New Roman" w:cs="Times New Roman"/>
          <w:sz w:val="24"/>
          <w:szCs w:val="24"/>
        </w:rPr>
        <w:t xml:space="preserve"> data</w:t>
      </w:r>
      <w:r w:rsidR="00F615E4">
        <w:rPr>
          <w:rFonts w:ascii="Times New Roman" w:hAnsi="Times New Roman" w:cs="Times New Roman"/>
          <w:sz w:val="24"/>
          <w:szCs w:val="24"/>
        </w:rPr>
        <w:t xml:space="preserve">. The </w:t>
      </w:r>
      <w:r>
        <w:rPr>
          <w:rFonts w:ascii="Times New Roman" w:hAnsi="Times New Roman" w:cs="Times New Roman"/>
          <w:sz w:val="24"/>
          <w:szCs w:val="24"/>
        </w:rPr>
        <w:t>results</w:t>
      </w:r>
      <w:r w:rsidR="00F615E4">
        <w:rPr>
          <w:rFonts w:ascii="Times New Roman" w:hAnsi="Times New Roman" w:cs="Times New Roman"/>
          <w:sz w:val="24"/>
          <w:szCs w:val="24"/>
        </w:rPr>
        <w:t xml:space="preserve"> are reported in Section 5. Section 6 </w:t>
      </w:r>
      <w:r>
        <w:rPr>
          <w:rFonts w:ascii="Times New Roman" w:hAnsi="Times New Roman" w:cs="Times New Roman"/>
          <w:sz w:val="24"/>
          <w:szCs w:val="24"/>
        </w:rPr>
        <w:t>conclu</w:t>
      </w:r>
      <w:r w:rsidR="00F615E4">
        <w:rPr>
          <w:rFonts w:ascii="Times New Roman" w:hAnsi="Times New Roman" w:cs="Times New Roman"/>
          <w:sz w:val="24"/>
          <w:szCs w:val="24"/>
        </w:rPr>
        <w:t>des the paper</w:t>
      </w:r>
      <w:r w:rsidR="00557312">
        <w:rPr>
          <w:rFonts w:ascii="Times New Roman" w:hAnsi="Times New Roman" w:cs="Times New Roman"/>
          <w:sz w:val="24"/>
          <w:szCs w:val="24"/>
        </w:rPr>
        <w:t xml:space="preserve"> and </w:t>
      </w:r>
      <w:r w:rsidR="00F615E4">
        <w:rPr>
          <w:rFonts w:ascii="Times New Roman" w:hAnsi="Times New Roman" w:cs="Times New Roman"/>
          <w:sz w:val="24"/>
          <w:szCs w:val="24"/>
        </w:rPr>
        <w:t xml:space="preserve">offers some practical </w:t>
      </w:r>
      <w:r w:rsidR="00557312">
        <w:rPr>
          <w:rFonts w:ascii="Times New Roman" w:hAnsi="Times New Roman" w:cs="Times New Roman"/>
          <w:sz w:val="24"/>
          <w:szCs w:val="24"/>
        </w:rPr>
        <w:t>implications</w:t>
      </w:r>
      <w:r w:rsidR="00F615E4">
        <w:rPr>
          <w:rFonts w:ascii="Times New Roman" w:hAnsi="Times New Roman" w:cs="Times New Roman"/>
          <w:sz w:val="24"/>
          <w:szCs w:val="24"/>
        </w:rPr>
        <w:t xml:space="preserve"> stemming from the results</w:t>
      </w:r>
      <w:r>
        <w:rPr>
          <w:rFonts w:ascii="Times New Roman" w:hAnsi="Times New Roman" w:cs="Times New Roman"/>
          <w:sz w:val="24"/>
          <w:szCs w:val="24"/>
        </w:rPr>
        <w:t>.</w:t>
      </w:r>
    </w:p>
    <w:p w14:paraId="2A834976" w14:textId="09A7EF5A" w:rsidR="00D21F79" w:rsidRDefault="00D21F79" w:rsidP="00D45BAD">
      <w:pPr>
        <w:spacing w:after="0" w:line="480" w:lineRule="auto"/>
        <w:rPr>
          <w:rFonts w:ascii="Times New Roman" w:hAnsi="Times New Roman" w:cs="Times New Roman"/>
          <w:sz w:val="24"/>
          <w:szCs w:val="24"/>
        </w:rPr>
      </w:pPr>
    </w:p>
    <w:p w14:paraId="0A95FCA8" w14:textId="75961724" w:rsidR="00AD3440" w:rsidRPr="00AD3440" w:rsidRDefault="00AD3440" w:rsidP="00D45BAD">
      <w:pPr>
        <w:spacing w:after="0" w:line="480" w:lineRule="auto"/>
        <w:rPr>
          <w:rFonts w:ascii="Times New Roman" w:hAnsi="Times New Roman" w:cs="Times New Roman"/>
          <w:b/>
          <w:sz w:val="24"/>
          <w:szCs w:val="24"/>
        </w:rPr>
      </w:pPr>
      <w:r>
        <w:rPr>
          <w:rFonts w:ascii="Times New Roman" w:hAnsi="Times New Roman" w:cs="Times New Roman"/>
          <w:b/>
          <w:sz w:val="24"/>
          <w:szCs w:val="24"/>
        </w:rPr>
        <w:t>2</w:t>
      </w:r>
      <w:r w:rsidRPr="00B10156">
        <w:rPr>
          <w:rFonts w:ascii="Times New Roman" w:hAnsi="Times New Roman" w:cs="Times New Roman"/>
          <w:b/>
          <w:sz w:val="24"/>
          <w:szCs w:val="24"/>
        </w:rPr>
        <w:t xml:space="preserve">. </w:t>
      </w:r>
      <w:r>
        <w:rPr>
          <w:rFonts w:ascii="Times New Roman" w:hAnsi="Times New Roman" w:cs="Times New Roman"/>
          <w:b/>
          <w:sz w:val="24"/>
          <w:szCs w:val="24"/>
        </w:rPr>
        <w:t>Background literature</w:t>
      </w:r>
    </w:p>
    <w:p w14:paraId="348B5E06" w14:textId="54859457" w:rsidR="007C1EC8" w:rsidRPr="006F3013" w:rsidRDefault="00A6365D" w:rsidP="007C1EC8">
      <w:pPr>
        <w:spacing w:after="0" w:line="480" w:lineRule="auto"/>
        <w:rPr>
          <w:rFonts w:ascii="Times New Roman" w:hAnsi="Times New Roman" w:cs="Times New Roman"/>
          <w:sz w:val="24"/>
          <w:szCs w:val="24"/>
          <w:lang w:bidi="en-US"/>
        </w:rPr>
      </w:pPr>
      <w:r>
        <w:rPr>
          <w:rFonts w:ascii="Times New Roman" w:hAnsi="Times New Roman" w:cs="Times New Roman"/>
          <w:sz w:val="24"/>
          <w:szCs w:val="24"/>
          <w:lang w:bidi="en-US"/>
        </w:rPr>
        <w:tab/>
      </w:r>
      <w:r w:rsidR="00A741C8">
        <w:rPr>
          <w:rFonts w:ascii="Times New Roman" w:hAnsi="Times New Roman" w:cs="Times New Roman"/>
          <w:sz w:val="24"/>
          <w:szCs w:val="24"/>
          <w:lang w:bidi="en-US"/>
        </w:rPr>
        <w:t>Stock m</w:t>
      </w:r>
      <w:r w:rsidR="00316F58">
        <w:rPr>
          <w:rFonts w:ascii="Times New Roman" w:hAnsi="Times New Roman" w:cs="Times New Roman"/>
          <w:sz w:val="24"/>
          <w:szCs w:val="24"/>
          <w:lang w:bidi="en-US"/>
        </w:rPr>
        <w:t>arket</w:t>
      </w:r>
      <w:r w:rsidR="004E0E96">
        <w:rPr>
          <w:rFonts w:ascii="Times New Roman" w:hAnsi="Times New Roman" w:cs="Times New Roman"/>
          <w:sz w:val="24"/>
          <w:szCs w:val="24"/>
          <w:lang w:bidi="en-US"/>
        </w:rPr>
        <w:t xml:space="preserve"> volatility </w:t>
      </w:r>
      <w:r w:rsidR="005D6219">
        <w:rPr>
          <w:rFonts w:ascii="Times New Roman" w:hAnsi="Times New Roman" w:cs="Times New Roman"/>
          <w:sz w:val="24"/>
          <w:szCs w:val="24"/>
          <w:lang w:bidi="en-US"/>
        </w:rPr>
        <w:t xml:space="preserve">can have a major impact on </w:t>
      </w:r>
      <w:r w:rsidR="004E0E96">
        <w:rPr>
          <w:rFonts w:ascii="Times New Roman" w:hAnsi="Times New Roman" w:cs="Times New Roman"/>
          <w:sz w:val="24"/>
          <w:szCs w:val="24"/>
          <w:lang w:bidi="en-US"/>
        </w:rPr>
        <w:t>stock prices</w:t>
      </w:r>
      <w:r w:rsidR="005D6219">
        <w:rPr>
          <w:rFonts w:ascii="Times New Roman" w:hAnsi="Times New Roman" w:cs="Times New Roman"/>
          <w:sz w:val="24"/>
          <w:szCs w:val="24"/>
          <w:lang w:bidi="en-US"/>
        </w:rPr>
        <w:t xml:space="preserve"> because higher volatility implies more risk </w:t>
      </w:r>
      <w:r w:rsidR="005D6219">
        <w:rPr>
          <w:rFonts w:ascii="Times New Roman" w:hAnsi="Times New Roman" w:cs="Times New Roman"/>
          <w:sz w:val="24"/>
          <w:szCs w:val="24"/>
          <w:lang w:bidi="en-US"/>
        </w:rPr>
        <w:fldChar w:fldCharType="begin"/>
      </w:r>
      <w:r w:rsidR="005D6219">
        <w:rPr>
          <w:rFonts w:ascii="Times New Roman" w:hAnsi="Times New Roman" w:cs="Times New Roman"/>
          <w:sz w:val="24"/>
          <w:szCs w:val="24"/>
          <w:lang w:bidi="en-US"/>
        </w:rPr>
        <w:instrText xml:space="preserve"> ADDIN ZOTERO_ITEM CSL_CITATION {"citationID":"AIgJCynn","properties":{"formattedCitation":"(Schwert, 1990)","plainCitation":"(Schwert, 1990)","noteIndex":0},"citationItems":[{"id":3665,"uris":["http://zotero.org/users/5823779/items/LQMHI2BG"],"itemData":{"id":3665,"type":"article-journal","container-title":"Financial Analysts Journal","DOI":"10.2469/faj.v46.n3.23","ISSN":"0015-198X","issue":"3","note":"publisher: Routledge\n_eprint: https://doi.org/10.2469/faj.v46.n3.23","page":"23-34","source":"Taylor and Francis+NEJM","title":"Stock Market Volatility","volume":"46","author":[{"family":"Schwert","given":"G. William"}],"issued":{"date-parts":[["1990",5,1]]}}}],"schema":"https://github.com/citation-style-language/schema/raw/master/csl-citation.json"} </w:instrText>
      </w:r>
      <w:r w:rsidR="005D6219">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(Schwert, 1990)</w:t>
      </w:r>
      <w:r w:rsidR="005D6219">
        <w:rPr>
          <w:rFonts w:ascii="Times New Roman" w:hAnsi="Times New Roman" w:cs="Times New Roman"/>
          <w:sz w:val="24"/>
          <w:szCs w:val="24"/>
          <w:lang w:bidi="en-US"/>
        </w:rPr>
        <w:fldChar w:fldCharType="end"/>
      </w:r>
      <w:r w:rsidR="004E0E96">
        <w:rPr>
          <w:rFonts w:ascii="Times New Roman" w:hAnsi="Times New Roman" w:cs="Times New Roman"/>
          <w:sz w:val="24"/>
          <w:szCs w:val="24"/>
          <w:lang w:bidi="en-US"/>
        </w:rPr>
        <w:t>.</w:t>
      </w:r>
      <w:r w:rsidR="005D6219">
        <w:rPr>
          <w:rFonts w:ascii="Times New Roman" w:hAnsi="Times New Roman" w:cs="Times New Roman"/>
          <w:sz w:val="24"/>
          <w:szCs w:val="24"/>
          <w:lang w:bidi="en-US"/>
        </w:rPr>
        <w:t xml:space="preserve"> Investments that looked attractive in a low risk environment may not be as attractive in a </w:t>
      </w:r>
      <w:proofErr w:type="gramStart"/>
      <w:r w:rsidR="005D6219">
        <w:rPr>
          <w:rFonts w:ascii="Times New Roman" w:hAnsi="Times New Roman" w:cs="Times New Roman"/>
          <w:sz w:val="24"/>
          <w:szCs w:val="24"/>
          <w:lang w:bidi="en-US"/>
        </w:rPr>
        <w:t>high risk</w:t>
      </w:r>
      <w:proofErr w:type="gramEnd"/>
      <w:r w:rsidR="005D6219">
        <w:rPr>
          <w:rFonts w:ascii="Times New Roman" w:hAnsi="Times New Roman" w:cs="Times New Roman"/>
          <w:sz w:val="24"/>
          <w:szCs w:val="24"/>
          <w:lang w:bidi="en-US"/>
        </w:rPr>
        <w:t xml:space="preserve"> environment.</w:t>
      </w:r>
      <w:r w:rsidR="00D24FB1">
        <w:rPr>
          <w:rFonts w:ascii="Times New Roman" w:hAnsi="Times New Roman" w:cs="Times New Roman"/>
          <w:sz w:val="24"/>
          <w:szCs w:val="24"/>
          <w:lang w:bidi="en-US"/>
        </w:rPr>
        <w:t xml:space="preserve"> </w:t>
      </w:r>
      <w:r w:rsidR="00BB7FF0">
        <w:rPr>
          <w:rFonts w:ascii="Times New Roman" w:hAnsi="Times New Roman" w:cs="Times New Roman"/>
          <w:sz w:val="24"/>
          <w:szCs w:val="24"/>
          <w:lang w:bidi="en-US"/>
        </w:rPr>
        <w:t>O</w:t>
      </w:r>
      <w:r w:rsidR="00D43FAB">
        <w:rPr>
          <w:rFonts w:ascii="Times New Roman" w:hAnsi="Times New Roman" w:cs="Times New Roman"/>
          <w:sz w:val="24"/>
          <w:szCs w:val="24"/>
          <w:lang w:bidi="en-US"/>
        </w:rPr>
        <w:t xml:space="preserve">il price volatility and technology stock market volatility may also have an important impact on clean </w:t>
      </w:r>
      <w:r w:rsidR="00C56846">
        <w:rPr>
          <w:rFonts w:ascii="Times New Roman" w:hAnsi="Times New Roman" w:cs="Times New Roman"/>
          <w:sz w:val="24"/>
          <w:szCs w:val="24"/>
          <w:lang w:bidi="en-US"/>
        </w:rPr>
        <w:t xml:space="preserve">energy </w:t>
      </w:r>
      <w:r w:rsidR="00D43FAB">
        <w:rPr>
          <w:rFonts w:ascii="Times New Roman" w:hAnsi="Times New Roman" w:cs="Times New Roman"/>
          <w:sz w:val="24"/>
          <w:szCs w:val="24"/>
          <w:lang w:bidi="en-US"/>
        </w:rPr>
        <w:t>stock prices.</w:t>
      </w:r>
      <w:r w:rsidR="00BB7FF0">
        <w:rPr>
          <w:rFonts w:ascii="Times New Roman" w:hAnsi="Times New Roman" w:cs="Times New Roman"/>
          <w:sz w:val="24"/>
          <w:szCs w:val="24"/>
          <w:lang w:bidi="en-US"/>
        </w:rPr>
        <w:t xml:space="preserve"> </w:t>
      </w:r>
      <w:r w:rsidR="00D43FAB">
        <w:rPr>
          <w:rFonts w:ascii="Times New Roman" w:hAnsi="Times New Roman" w:cs="Times New Roman"/>
          <w:sz w:val="24"/>
          <w:szCs w:val="24"/>
          <w:lang w:bidi="en-US"/>
        </w:rPr>
        <w:t xml:space="preserve"> </w:t>
      </w:r>
      <w:r w:rsidR="00F61AC5">
        <w:rPr>
          <w:rFonts w:ascii="Times New Roman" w:hAnsi="Times New Roman" w:cs="Times New Roman"/>
          <w:sz w:val="24"/>
          <w:szCs w:val="24"/>
          <w:lang w:bidi="en-US"/>
        </w:rPr>
        <w:t>Since clean energy and fossil fuels are substitutes, higher oil prices should encourage a shift away from fossil fuels to clean energy. Higher oil price volatility can, however, create delay</w:t>
      </w:r>
      <w:r w:rsidR="008D2D7E">
        <w:rPr>
          <w:rFonts w:ascii="Times New Roman" w:hAnsi="Times New Roman" w:cs="Times New Roman"/>
          <w:sz w:val="24"/>
          <w:szCs w:val="24"/>
          <w:lang w:bidi="en-US"/>
        </w:rPr>
        <w:t>s</w:t>
      </w:r>
      <w:r w:rsidR="00F61AC5">
        <w:rPr>
          <w:rFonts w:ascii="Times New Roman" w:hAnsi="Times New Roman" w:cs="Times New Roman"/>
          <w:sz w:val="24"/>
          <w:szCs w:val="24"/>
          <w:lang w:bidi="en-US"/>
        </w:rPr>
        <w:t xml:space="preserve"> in decision making</w:t>
      </w:r>
      <w:r w:rsidR="008D2D7E">
        <w:rPr>
          <w:rFonts w:ascii="Times New Roman" w:hAnsi="Times New Roman" w:cs="Times New Roman"/>
          <w:sz w:val="24"/>
          <w:szCs w:val="24"/>
          <w:lang w:bidi="en-US"/>
        </w:rPr>
        <w:t xml:space="preserve"> because of uncertainty over the future profitability of renewable energy investments</w:t>
      </w:r>
      <w:r w:rsidR="00F61AC5">
        <w:rPr>
          <w:rFonts w:ascii="Times New Roman" w:hAnsi="Times New Roman" w:cs="Times New Roman"/>
          <w:sz w:val="24"/>
          <w:szCs w:val="24"/>
          <w:lang w:bidi="en-US"/>
        </w:rPr>
        <w:t xml:space="preserve">. </w:t>
      </w:r>
      <w:r w:rsidR="000A364F">
        <w:rPr>
          <w:rFonts w:ascii="Times New Roman" w:hAnsi="Times New Roman" w:cs="Times New Roman"/>
          <w:sz w:val="24"/>
          <w:szCs w:val="24"/>
          <w:lang w:bidi="en-US"/>
        </w:rPr>
        <w:t>C</w:t>
      </w:r>
      <w:r w:rsidR="00F61AC5">
        <w:rPr>
          <w:rFonts w:ascii="Times New Roman" w:hAnsi="Times New Roman" w:cs="Times New Roman"/>
          <w:sz w:val="24"/>
          <w:szCs w:val="24"/>
          <w:lang w:bidi="en-US"/>
        </w:rPr>
        <w:t>lean energy relies on technological innovation to bring down the cost of generating energy from renewable sources</w:t>
      </w:r>
      <w:r w:rsidR="000A364F">
        <w:rPr>
          <w:rFonts w:ascii="Times New Roman" w:hAnsi="Times New Roman" w:cs="Times New Roman"/>
          <w:sz w:val="24"/>
          <w:szCs w:val="24"/>
          <w:lang w:bidi="en-US"/>
        </w:rPr>
        <w:t xml:space="preserve"> and</w:t>
      </w:r>
      <w:r w:rsidR="00F61AC5">
        <w:rPr>
          <w:rFonts w:ascii="Times New Roman" w:hAnsi="Times New Roman" w:cs="Times New Roman"/>
          <w:sz w:val="24"/>
          <w:szCs w:val="24"/>
          <w:lang w:bidi="en-US"/>
        </w:rPr>
        <w:t xml:space="preserve"> </w:t>
      </w:r>
      <w:r w:rsidR="00C56846">
        <w:rPr>
          <w:rFonts w:ascii="Times New Roman" w:hAnsi="Times New Roman" w:cs="Times New Roman"/>
          <w:sz w:val="24"/>
          <w:szCs w:val="24"/>
          <w:lang w:bidi="en-US"/>
        </w:rPr>
        <w:t xml:space="preserve">uncertainty about technology </w:t>
      </w:r>
      <w:r w:rsidR="00F61AC5">
        <w:rPr>
          <w:rFonts w:ascii="Times New Roman" w:hAnsi="Times New Roman" w:cs="Times New Roman"/>
          <w:sz w:val="24"/>
          <w:szCs w:val="24"/>
          <w:lang w:bidi="en-US"/>
        </w:rPr>
        <w:t xml:space="preserve">can delay </w:t>
      </w:r>
      <w:r w:rsidR="004414A7">
        <w:rPr>
          <w:rFonts w:ascii="Times New Roman" w:hAnsi="Times New Roman" w:cs="Times New Roman"/>
          <w:sz w:val="24"/>
          <w:szCs w:val="24"/>
          <w:lang w:bidi="en-US"/>
        </w:rPr>
        <w:t xml:space="preserve">the </w:t>
      </w:r>
      <w:r w:rsidR="00F61AC5">
        <w:rPr>
          <w:rFonts w:ascii="Times New Roman" w:hAnsi="Times New Roman" w:cs="Times New Roman"/>
          <w:sz w:val="24"/>
          <w:szCs w:val="24"/>
          <w:lang w:bidi="en-US"/>
        </w:rPr>
        <w:t xml:space="preserve">decision </w:t>
      </w:r>
      <w:r w:rsidR="004414A7">
        <w:rPr>
          <w:rFonts w:ascii="Times New Roman" w:hAnsi="Times New Roman" w:cs="Times New Roman"/>
          <w:sz w:val="24"/>
          <w:szCs w:val="24"/>
          <w:lang w:bidi="en-US"/>
        </w:rPr>
        <w:t>to invest in clean energy</w:t>
      </w:r>
      <w:r w:rsidR="00C56846">
        <w:rPr>
          <w:rFonts w:ascii="Times New Roman" w:hAnsi="Times New Roman" w:cs="Times New Roman"/>
          <w:sz w:val="24"/>
          <w:szCs w:val="24"/>
          <w:lang w:bidi="en-US"/>
        </w:rPr>
        <w:t>. This uncertainty can be captured in technology stock market volatility</w:t>
      </w:r>
      <w:r w:rsidR="00595C7F">
        <w:rPr>
          <w:rFonts w:ascii="Times New Roman" w:hAnsi="Times New Roman" w:cs="Times New Roman"/>
          <w:sz w:val="24"/>
          <w:szCs w:val="24"/>
          <w:lang w:bidi="en-US"/>
        </w:rPr>
        <w:t xml:space="preserve"> </w:t>
      </w:r>
      <w:r w:rsidR="00595C7F">
        <w:rPr>
          <w:rFonts w:ascii="Times New Roman" w:hAnsi="Times New Roman" w:cs="Times New Roman"/>
          <w:sz w:val="24"/>
          <w:szCs w:val="24"/>
          <w:lang w:bidi="en-US"/>
        </w:rPr>
        <w:fldChar w:fldCharType="begin"/>
      </w:r>
      <w:r w:rsidR="00595C7F">
        <w:rPr>
          <w:rFonts w:ascii="Times New Roman" w:hAnsi="Times New Roman" w:cs="Times New Roman"/>
          <w:sz w:val="24"/>
          <w:szCs w:val="24"/>
          <w:lang w:bidi="en-US"/>
        </w:rPr>
        <w:instrText xml:space="preserve"> ADDIN ZOTERO_ITEM CSL_CITATION {"citationID":"IWyUDTjv","properties":{"formattedCitation":"(Henriques and Sadorsky, 2008)","plainCitation":"(Henriques and Sadorsky, 2008)","noteIndex":0},"citationItems":[{"id":17,"uris":["http://zotero.org/users/5823779/items/FKC9XFMQ"],"itemData":{"id":17,"type":"article-journal","abstract":"Energy security issues coupled with increased concern over the natural environment are driving factors behind oil price movements. While it is widely accepted that rising oil prices are good for the financial performance of alternative energy companies, there has been relatively little statistical work done to measure just how sensitive the financial performance of alternative energy companies are to changes in oil prices. In this paper, a four variable vector autoregression model is developed and estimated in order to investigate the empirical relationship between alternative energy stock prices, technology stock prices, oil prices, and interest rates. Our results show technology stock prices and oil prices each individually Granger cause the stock prices of alternative energy companies. Simulation results show that a shock to technology stock prices has a larger impact on alternative energy stock prices than does a shock to oil prices. These results should be of use to investors, managers and policy makers.","container-title":"Energy Economics","DOI":"10.1016/j.eneco.2007.11.001","ISSN":"0140-9883","issue":"3","journalAbbreviation":"Energy Economics","page":"998-1010","source":"ScienceDirect","title":"Oil prices and the stock prices of alternative energy companies","volume":"30","author":[{"family":"Henriques","given":"Irene"},{"family":"Sadorsky","given":"Perry"}],"issued":{"date-parts":[["2008",5,1]]}}}],"schema":"https://github.com/citation-style-language/schema/raw/master/csl-citation.json"} </w:instrText>
      </w:r>
      <w:r w:rsidR="00595C7F">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(Henriques and Sadorsky, 2008)</w:t>
      </w:r>
      <w:r w:rsidR="00595C7F">
        <w:rPr>
          <w:rFonts w:ascii="Times New Roman" w:hAnsi="Times New Roman" w:cs="Times New Roman"/>
          <w:sz w:val="24"/>
          <w:szCs w:val="24"/>
          <w:lang w:bidi="en-US"/>
        </w:rPr>
        <w:fldChar w:fldCharType="end"/>
      </w:r>
      <w:r w:rsidR="00F61AC5">
        <w:rPr>
          <w:rFonts w:ascii="Times New Roman" w:hAnsi="Times New Roman" w:cs="Times New Roman"/>
          <w:sz w:val="24"/>
          <w:szCs w:val="24"/>
          <w:lang w:bidi="en-US"/>
        </w:rPr>
        <w:t>.</w:t>
      </w:r>
    </w:p>
    <w:p w14:paraId="0BBC1984" w14:textId="6CBD9B2E" w:rsidR="004E0E96" w:rsidRDefault="007543B5" w:rsidP="007C1E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0E96" w:rsidRPr="006F3013">
        <w:rPr>
          <w:rFonts w:ascii="Times New Roman" w:hAnsi="Times New Roman" w:cs="Times New Roman"/>
          <w:sz w:val="24"/>
          <w:szCs w:val="24"/>
        </w:rPr>
        <w:t xml:space="preserve">Dutta </w:t>
      </w:r>
      <w:r w:rsidR="004E0E96" w:rsidRPr="006F3013">
        <w:rPr>
          <w:rFonts w:ascii="Times New Roman" w:hAnsi="Times New Roman" w:cs="Times New Roman"/>
          <w:sz w:val="24"/>
          <w:szCs w:val="24"/>
        </w:rPr>
        <w:fldChar w:fldCharType="begin"/>
      </w:r>
      <w:r w:rsidR="004E0E96" w:rsidRPr="006F3013">
        <w:rPr>
          <w:rFonts w:ascii="Times New Roman" w:hAnsi="Times New Roman" w:cs="Times New Roman"/>
          <w:sz w:val="24"/>
          <w:szCs w:val="24"/>
        </w:rPr>
        <w:instrText xml:space="preserve"> ADDIN ZOTERO_ITEM CSL_CITATION {"citationID":"B5OABpSe","properties":{"formattedCitation":"(2017)","plainCitation":"(2017)","noteIndex":0},"citationItems":[{"id":102,"uris":["http://zotero.org/users/5823779/items/N7RMSEVE"],"itemData":{"id":102,"type":"article-journal","abstract":"Earlier studies evidence that oil price shocks have significant impacts on clean energy stock returns. While the previous literature uses traditional oil price series to investigate such effects, we aim to assess whether the variance of alternative energy stock returns can be explained using the information content of crude oil volatility index (OVX), an indicator of oil price uncertainty. To serve our purpose, we employ several measures to frame the realized volatility (RV) of alternative energy sector equity returns. In particular, we use three different range-based RV estimators recommended by Parkinson (1980), Rogers and Satchell (1991) and Alizadeh et al. (2002) respectively. Our findings reveal that clean energy stock market returns are highly sensitive to OVX shocks. Thus oil market uncertainty, measured by OVX, embodies a crucial role in modeling the volatility of renewable energy equity returns. In addition, we find a strong indication that OVX provides additional information beyond what is contained in the historical volatilities of equity returns. We also document that the magnitude of the effect of OVX is much bigger than that of the realized variance of WTI oil spot prices. Finally, we find that the information content of crude oil volatility index improves the volatility forecasts for the clean energy equity market.","container-title":"Journal of Cleaner Production","DOI":"10.1016/j.jclepro.2017.07.050","ISSN":"0959-6526","journalAbbreviation":"Journal of Cleaner Production","page":"1157-1166","source":"ScienceDirect","title":"Oil price uncertainty and clean energy stock returns: New evidence from crude oil volatility index","title-short":"Oil price uncertainty and clean energy stock returns","volume":"164","author":[{"family":"Dutta","given":"Anupam"}],"issued":{"date-parts":[["2017",10,15]]}},"suppress-author":true}],"schema":"https://github.com/citation-style-language/schema/raw/master/csl-citation.json"} </w:instrText>
      </w:r>
      <w:r w:rsidR="004E0E96" w:rsidRPr="006F3013">
        <w:rPr>
          <w:rFonts w:ascii="Times New Roman" w:hAnsi="Times New Roman" w:cs="Times New Roman"/>
          <w:sz w:val="24"/>
          <w:szCs w:val="24"/>
        </w:rPr>
        <w:fldChar w:fldCharType="separate"/>
      </w:r>
      <w:r w:rsidR="00F31A70" w:rsidRPr="00F31A70">
        <w:rPr>
          <w:rFonts w:ascii="Times New Roman" w:hAnsi="Times New Roman" w:cs="Times New Roman"/>
          <w:sz w:val="24"/>
        </w:rPr>
        <w:t>(2017)</w:t>
      </w:r>
      <w:r w:rsidR="004E0E96" w:rsidRPr="006F3013">
        <w:rPr>
          <w:rFonts w:ascii="Times New Roman" w:hAnsi="Times New Roman" w:cs="Times New Roman"/>
          <w:sz w:val="24"/>
          <w:szCs w:val="24"/>
        </w:rPr>
        <w:fldChar w:fldCharType="end"/>
      </w:r>
      <w:r w:rsidR="004E0E96" w:rsidRPr="006F3013">
        <w:rPr>
          <w:rFonts w:ascii="Times New Roman" w:hAnsi="Times New Roman" w:cs="Times New Roman"/>
          <w:sz w:val="24"/>
          <w:szCs w:val="24"/>
        </w:rPr>
        <w:t xml:space="preserve"> find</w:t>
      </w:r>
      <w:r>
        <w:rPr>
          <w:rFonts w:ascii="Times New Roman" w:hAnsi="Times New Roman" w:cs="Times New Roman"/>
          <w:sz w:val="24"/>
          <w:szCs w:val="24"/>
        </w:rPr>
        <w:t>s</w:t>
      </w:r>
      <w:r w:rsidR="004E0E96" w:rsidRPr="006F3013">
        <w:rPr>
          <w:rFonts w:ascii="Times New Roman" w:hAnsi="Times New Roman" w:cs="Times New Roman"/>
          <w:sz w:val="24"/>
          <w:szCs w:val="24"/>
        </w:rPr>
        <w:t xml:space="preserve"> a positive relationship between the realized volatility of clean energy equities and oil volatility (OVX). Ahmad et al. </w:t>
      </w:r>
      <w:r w:rsidR="004E0E96" w:rsidRPr="006F3013">
        <w:rPr>
          <w:rFonts w:ascii="Times New Roman" w:hAnsi="Times New Roman" w:cs="Times New Roman"/>
          <w:sz w:val="24"/>
          <w:szCs w:val="24"/>
        </w:rPr>
        <w:fldChar w:fldCharType="begin"/>
      </w:r>
      <w:r w:rsidR="004E0E96" w:rsidRPr="006F3013">
        <w:rPr>
          <w:rFonts w:ascii="Times New Roman" w:hAnsi="Times New Roman" w:cs="Times New Roman"/>
          <w:sz w:val="24"/>
          <w:szCs w:val="24"/>
        </w:rPr>
        <w:instrText xml:space="preserve"> ADDIN ZOTERO_ITEM CSL_CITATION {"citationID":"fifpWdwJ","properties":{"formattedCitation":"(2018)","plainCitation":"(2018)","noteIndex":0},"citationItems":[{"id":2838,"uris":["http://zotero.org/users/5823779/items/3FS4CLW9"],"itemData":{"id":2838,"type":"article-journal","abstract":"Clean energy equities represent a relatively new class of assets to invest in, and these assets can be very volatile. An understanding of how investors in clean energy stocks can hedge their investment is essential for risk management. In this study, we use daily data covering the period March 03, 2008 to October 31, 2017, to examine how crude oil, US-bonds, gold, VIX, OVX and European carbon prices can be used to hedge an investment in clean energy equities. We apply three variants of multivariate GARCH models (DCC, ADCC and GO-GARCH) to estimate time-varying optimal hedge ratios. The results suggest that VIX is the best asset to hedge clean energy equities followed by crude oil and OVX. This is a new result relative to the existing literature on clean energy stock prices and one that is of interest to current and future investors in clean energy stocks.","container-title":"Economic Modelling","DOI":"10.1016/j.econmod.2018.02.008","ISSN":"02649993","journalAbbreviation":"Economic Modelling","language":"en","page":"278-295","source":"DOI.org (Crossref)","title":"Optimal hedge ratios for clean energy equities","volume":"72","author":[{"family":"Ahmad","given":"Wasim"},{"family":"Sadorsky","given":"Perry"},{"family":"Sharma","given":"Amit"}],"issued":{"date-parts":[["2018",6]]}},"suppress-author":true}],"schema":"https://github.com/citation-style-language/schema/raw/master/csl-citation.json"} </w:instrText>
      </w:r>
      <w:r w:rsidR="004E0E96" w:rsidRPr="006F3013">
        <w:rPr>
          <w:rFonts w:ascii="Times New Roman" w:hAnsi="Times New Roman" w:cs="Times New Roman"/>
          <w:sz w:val="24"/>
          <w:szCs w:val="24"/>
        </w:rPr>
        <w:fldChar w:fldCharType="separate"/>
      </w:r>
      <w:r w:rsidR="00F31A70" w:rsidRPr="00F31A70">
        <w:rPr>
          <w:rFonts w:ascii="Times New Roman" w:hAnsi="Times New Roman" w:cs="Times New Roman"/>
          <w:sz w:val="24"/>
        </w:rPr>
        <w:t>(2018)</w:t>
      </w:r>
      <w:r w:rsidR="004E0E96" w:rsidRPr="006F3013">
        <w:rPr>
          <w:rFonts w:ascii="Times New Roman" w:hAnsi="Times New Roman" w:cs="Times New Roman"/>
          <w:sz w:val="24"/>
          <w:szCs w:val="24"/>
        </w:rPr>
        <w:fldChar w:fldCharType="end"/>
      </w:r>
      <w:r w:rsidR="004E0E96" w:rsidRPr="006F3013">
        <w:rPr>
          <w:rFonts w:ascii="Times New Roman" w:hAnsi="Times New Roman" w:cs="Times New Roman"/>
          <w:sz w:val="24"/>
          <w:szCs w:val="24"/>
        </w:rPr>
        <w:t xml:space="preserve"> find a negative correlation between renewable energy stock volatility and OVX. In studying the stock price dynamics of solar energy </w:t>
      </w:r>
      <w:r w:rsidR="004E0E96" w:rsidRPr="006F3013">
        <w:rPr>
          <w:rFonts w:ascii="Times New Roman" w:hAnsi="Times New Roman" w:cs="Times New Roman"/>
          <w:sz w:val="24"/>
          <w:szCs w:val="24"/>
        </w:rPr>
        <w:lastRenderedPageBreak/>
        <w:t xml:space="preserve">firms, Dutta </w:t>
      </w:r>
      <w:r w:rsidR="004E0E96" w:rsidRPr="006F3013">
        <w:rPr>
          <w:rFonts w:ascii="Times New Roman" w:hAnsi="Times New Roman" w:cs="Times New Roman"/>
          <w:sz w:val="24"/>
          <w:szCs w:val="24"/>
        </w:rPr>
        <w:fldChar w:fldCharType="begin"/>
      </w:r>
      <w:r w:rsidR="004E0E96" w:rsidRPr="006F3013">
        <w:rPr>
          <w:rFonts w:ascii="Times New Roman" w:hAnsi="Times New Roman" w:cs="Times New Roman"/>
          <w:sz w:val="24"/>
          <w:szCs w:val="24"/>
        </w:rPr>
        <w:instrText xml:space="preserve"> ADDIN ZOTERO_ITEM CSL_CITATION {"citationID":"orgmRL9a","properties":{"formattedCitation":"(2019)","plainCitation":"(2019)","noteIndex":0},"citationItems":[{"id":3091,"uris":["http://zotero.org/users/5823779/items/JAUVXL4R"],"itemData":{"id":3091,"type":"article-journal","abstract":"To the best of our knowledge, we are the ﬁrst to investigate if silver market uncertainty impacts the stock price performance of solar energy ﬁrms. Such investigation could be of vital importance to investors and policymakers given that silver is heavily utilized in photovoltaic (PV) process for producing solar energy. Methodologically, we apply the GARCH-jump process to estimate the effect of silver market uncertainty, proxied by silver volatility index (VXSLV), on the global solar energy stock indexes. Using a recent data set, we document the following key ﬁndings. First, there exists a negative effect of VXSLV on the equity indexes under study. This result suggests that an upsurge in silver market volatility would create a chaos in the solar energy business. Second, the impact of silver volatility index on renewable energy ﬁrms holds even when we control for the impact of oil price volatility (OVX), albeit OVX, when compared to VXSLV, transmits higher risk to alternative energy stocks as evidenced by the magnitudes of the estimated parameters. Third, the impact of silver market uncertainty appears to be symmetric implying that increases and decreases in VXSLV would have a homogeneous impact on the solar energy stock returns. We ﬁnally show that equity prices of solar energy ﬁrms are characterized by time-varying jumps. The implications of the results are discussed as well.","container-title":"Journal of Cleaner Production","DOI":"10.1016/j.jclepro.2019.04.040","ISSN":"09596526","journalAbbreviation":"Journal of Cleaner Production","language":"en","page":"1044-1051","source":"DOI.org (Crossref)","title":"Impact of silver price uncertainty on solar energy firms","volume":"225","author":[{"family":"Dutta","given":"Anupam"}],"issued":{"date-parts":[["2019",7]]}},"suppress-author":true}],"schema":"https://github.com/citation-style-language/schema/raw/master/csl-citation.json"} </w:instrText>
      </w:r>
      <w:r w:rsidR="004E0E96" w:rsidRPr="006F3013">
        <w:rPr>
          <w:rFonts w:ascii="Times New Roman" w:hAnsi="Times New Roman" w:cs="Times New Roman"/>
          <w:sz w:val="24"/>
          <w:szCs w:val="24"/>
        </w:rPr>
        <w:fldChar w:fldCharType="separate"/>
      </w:r>
      <w:r w:rsidR="00F31A70" w:rsidRPr="00F31A70">
        <w:rPr>
          <w:rFonts w:ascii="Times New Roman" w:hAnsi="Times New Roman" w:cs="Times New Roman"/>
          <w:sz w:val="24"/>
        </w:rPr>
        <w:t>(2019)</w:t>
      </w:r>
      <w:r w:rsidR="004E0E96" w:rsidRPr="006F3013">
        <w:rPr>
          <w:rFonts w:ascii="Times New Roman" w:hAnsi="Times New Roman" w:cs="Times New Roman"/>
          <w:sz w:val="24"/>
          <w:szCs w:val="24"/>
        </w:rPr>
        <w:fldChar w:fldCharType="end"/>
      </w:r>
      <w:r w:rsidR="004E0E96" w:rsidRPr="006F3013">
        <w:rPr>
          <w:rFonts w:ascii="Times New Roman" w:hAnsi="Times New Roman" w:cs="Times New Roman"/>
          <w:sz w:val="24"/>
          <w:szCs w:val="24"/>
        </w:rPr>
        <w:t xml:space="preserve"> finds that OVX has a larger impact on solar stock</w:t>
      </w:r>
      <w:r w:rsidR="00EB1EF1">
        <w:rPr>
          <w:rFonts w:ascii="Times New Roman" w:hAnsi="Times New Roman" w:cs="Times New Roman"/>
          <w:sz w:val="24"/>
          <w:szCs w:val="24"/>
        </w:rPr>
        <w:t xml:space="preserve"> price</w:t>
      </w:r>
      <w:r w:rsidR="004E0E96" w:rsidRPr="006F3013">
        <w:rPr>
          <w:rFonts w:ascii="Times New Roman" w:hAnsi="Times New Roman" w:cs="Times New Roman"/>
          <w:sz w:val="24"/>
          <w:szCs w:val="24"/>
        </w:rPr>
        <w:t xml:space="preserve">s than either the gold VIX or the silver VIX. Dutta </w:t>
      </w:r>
      <w:r w:rsidR="004E0E96" w:rsidRPr="006F3013">
        <w:rPr>
          <w:rFonts w:ascii="Times New Roman" w:hAnsi="Times New Roman" w:cs="Times New Roman"/>
          <w:sz w:val="24"/>
          <w:szCs w:val="24"/>
        </w:rPr>
        <w:fldChar w:fldCharType="begin"/>
      </w:r>
      <w:r w:rsidR="004E0E96" w:rsidRPr="006F3013">
        <w:rPr>
          <w:rFonts w:ascii="Times New Roman" w:hAnsi="Times New Roman" w:cs="Times New Roman"/>
          <w:sz w:val="24"/>
          <w:szCs w:val="24"/>
        </w:rPr>
        <w:instrText xml:space="preserve"> ADDIN ZOTERO_ITEM CSL_CITATION {"citationID":"0z7lmD5y","properties":{"formattedCitation":"(2018)","plainCitation":"(2018)","noteIndex":0},"citationItems":[{"id":3071,"uris":["http://zotero.org/users/5823779/items/MP5DC7X9"],"itemData":{"id":3071,"type":"article-journal","container-title":"Journal of Multinational Financial Management","DOI":"10.1016/j.mulfin.2017.12.002","ISSN":"1042444X","journalAbbreviation":"Journal of Multinational Financial Management","language":"en","page":"61-68","source":"DOI.org (Crossref)","title":"Oil and energy sector stock markets: An analysis of implied volatility indexes","title-short":"Oil and energy sector stock markets","volume":"44","author":[{"family":"Dutta","given":"Anupam"}],"issued":{"date-parts":[["2018",3]]}},"suppress-author":true}],"schema":"https://github.com/citation-style-language/schema/raw/master/csl-citation.json"} </w:instrText>
      </w:r>
      <w:r w:rsidR="004E0E96" w:rsidRPr="006F3013">
        <w:rPr>
          <w:rFonts w:ascii="Times New Roman" w:hAnsi="Times New Roman" w:cs="Times New Roman"/>
          <w:sz w:val="24"/>
          <w:szCs w:val="24"/>
        </w:rPr>
        <w:fldChar w:fldCharType="separate"/>
      </w:r>
      <w:r w:rsidR="00F31A70" w:rsidRPr="00F31A70">
        <w:rPr>
          <w:rFonts w:ascii="Times New Roman" w:hAnsi="Times New Roman" w:cs="Times New Roman"/>
          <w:sz w:val="24"/>
        </w:rPr>
        <w:t>(2018)</w:t>
      </w:r>
      <w:r w:rsidR="004E0E96" w:rsidRPr="006F3013">
        <w:rPr>
          <w:rFonts w:ascii="Times New Roman" w:hAnsi="Times New Roman" w:cs="Times New Roman"/>
          <w:sz w:val="24"/>
          <w:szCs w:val="24"/>
        </w:rPr>
        <w:fldChar w:fldCharType="end"/>
      </w:r>
      <w:r w:rsidR="004E0E96" w:rsidRPr="006F3013">
        <w:rPr>
          <w:rFonts w:ascii="Times New Roman" w:hAnsi="Times New Roman" w:cs="Times New Roman"/>
          <w:sz w:val="24"/>
          <w:szCs w:val="24"/>
        </w:rPr>
        <w:t xml:space="preserve"> finds that OVX is useful for hedging the downside risk of clean energy stock prices. </w:t>
      </w:r>
      <w:r w:rsidR="00DE097C">
        <w:rPr>
          <w:rFonts w:ascii="Times New Roman" w:hAnsi="Times New Roman" w:cs="Times New Roman"/>
          <w:sz w:val="24"/>
          <w:szCs w:val="24"/>
        </w:rPr>
        <w:t xml:space="preserve">Sadorsky </w:t>
      </w:r>
      <w:r w:rsidR="00DE097C">
        <w:rPr>
          <w:rFonts w:ascii="Times New Roman" w:hAnsi="Times New Roman" w:cs="Times New Roman"/>
          <w:sz w:val="24"/>
          <w:szCs w:val="24"/>
        </w:rPr>
        <w:fldChar w:fldCharType="begin"/>
      </w:r>
      <w:r w:rsidR="00DE097C">
        <w:rPr>
          <w:rFonts w:ascii="Times New Roman" w:hAnsi="Times New Roman" w:cs="Times New Roman"/>
          <w:sz w:val="24"/>
          <w:szCs w:val="24"/>
        </w:rPr>
        <w:instrText xml:space="preserve"> ADDIN ZOTERO_ITEM CSL_CITATION {"citationID":"vQ2DNaua","properties":{"formattedCitation":"(2022)","plainCitation":"(2022)","noteIndex":0},"citationItems":[{"id":3637,"uris":["http://zotero.org/users/5823779/items/T4HMGIJS"],"itemData":{"id":3637,"type":"article-journal","abstract":"Solar energy is one of the fastest growing sources of electricity generation. Forecasting solar stock prices is important for investors and venture capitalists interested in the renewable energy sector. This paper uses tree-based machine learning methods to forecast the direction of solar stock prices. The feature set used in prediction includes a selection of well-known technical indicators, silver prices, silver price volatility, and oil price volatility. The solar stock price direction prediction accuracy of random forests, bagging, support vector machines, and extremely randomized trees is much higher than that of logit. For a forecast horizon of between 8 and 20 days, random forests, bagging, support vector machines, and extremely randomized trees achieve a prediction accuracy greater than 85%. Although not as prominent as technical indicators like MA200, WAD, and MA20, oil price volatility and silver price volatility are also important predictors. An investment portfolio trading strategy based on trading signals generated from the extremely randomized trees stock price direction prediction outperforms a simple buy and hold strategy. These results demonstrate the accuracy of using tree-based machine learning methods to forecast the direction of solar stock prices and adds to the broader literature on using machine learning techniques to forecast stock prices.","container-title":"The North American Journal of Economics and Finance","DOI":"10.1016/j.najef.2022.101705","ISSN":"1062-9408","journalAbbreviation":"The North American Journal of Economics and Finance","language":"en","page":"101705","source":"ScienceDirect","title":"Forecasting solar stock prices using tree-based machine learning classification: How important are silver prices?","title-short":"Forecasting solar stock prices using tree-based machine learning classification","volume":"61","author":[{"family":"Sadorsky","given":"Perry"}],"issued":{"date-parts":[["2022",7,1]]}},"suppress-author":true}],"schema":"https://github.com/citation-style-language/schema/raw/master/csl-citation.json"} </w:instrText>
      </w:r>
      <w:r w:rsidR="00DE097C">
        <w:rPr>
          <w:rFonts w:ascii="Times New Roman" w:hAnsi="Times New Roman" w:cs="Times New Roman"/>
          <w:sz w:val="24"/>
          <w:szCs w:val="24"/>
        </w:rPr>
        <w:fldChar w:fldCharType="separate"/>
      </w:r>
      <w:r w:rsidR="00F31A70" w:rsidRPr="00F31A70">
        <w:rPr>
          <w:rFonts w:ascii="Times New Roman" w:hAnsi="Times New Roman" w:cs="Times New Roman"/>
          <w:sz w:val="24"/>
        </w:rPr>
        <w:t>(2022)</w:t>
      </w:r>
      <w:r w:rsidR="00DE097C">
        <w:rPr>
          <w:rFonts w:ascii="Times New Roman" w:hAnsi="Times New Roman" w:cs="Times New Roman"/>
          <w:sz w:val="24"/>
          <w:szCs w:val="24"/>
        </w:rPr>
        <w:fldChar w:fldCharType="end"/>
      </w:r>
      <w:r w:rsidR="00DE097C">
        <w:rPr>
          <w:rFonts w:ascii="Times New Roman" w:hAnsi="Times New Roman" w:cs="Times New Roman"/>
          <w:sz w:val="24"/>
          <w:szCs w:val="24"/>
        </w:rPr>
        <w:t xml:space="preserve"> finds that </w:t>
      </w:r>
      <w:r w:rsidR="005A1EA3">
        <w:rPr>
          <w:rFonts w:ascii="Times New Roman" w:hAnsi="Times New Roman" w:cs="Times New Roman"/>
          <w:sz w:val="24"/>
          <w:szCs w:val="24"/>
        </w:rPr>
        <w:t xml:space="preserve">the volatility of </w:t>
      </w:r>
      <w:r w:rsidR="00DE097C">
        <w:rPr>
          <w:rFonts w:ascii="Times New Roman" w:hAnsi="Times New Roman" w:cs="Times New Roman"/>
          <w:sz w:val="24"/>
          <w:szCs w:val="24"/>
        </w:rPr>
        <w:t>oil price</w:t>
      </w:r>
      <w:r w:rsidR="005A1EA3">
        <w:rPr>
          <w:rFonts w:ascii="Times New Roman" w:hAnsi="Times New Roman" w:cs="Times New Roman"/>
          <w:sz w:val="24"/>
          <w:szCs w:val="24"/>
        </w:rPr>
        <w:t xml:space="preserve">s </w:t>
      </w:r>
      <w:r w:rsidR="00DE097C">
        <w:rPr>
          <w:rFonts w:ascii="Times New Roman" w:hAnsi="Times New Roman" w:cs="Times New Roman"/>
          <w:sz w:val="24"/>
          <w:szCs w:val="24"/>
        </w:rPr>
        <w:t xml:space="preserve">along with </w:t>
      </w:r>
      <w:r w:rsidR="005A1EA3">
        <w:rPr>
          <w:rFonts w:ascii="Times New Roman" w:hAnsi="Times New Roman" w:cs="Times New Roman"/>
          <w:sz w:val="24"/>
          <w:szCs w:val="24"/>
        </w:rPr>
        <w:t>the</w:t>
      </w:r>
      <w:r w:rsidR="00DE097C">
        <w:rPr>
          <w:rFonts w:ascii="Times New Roman" w:hAnsi="Times New Roman" w:cs="Times New Roman"/>
          <w:sz w:val="24"/>
          <w:szCs w:val="24"/>
        </w:rPr>
        <w:t xml:space="preserve"> volatility </w:t>
      </w:r>
      <w:r w:rsidR="005A1EA3">
        <w:rPr>
          <w:rFonts w:ascii="Times New Roman" w:hAnsi="Times New Roman" w:cs="Times New Roman"/>
          <w:sz w:val="24"/>
          <w:szCs w:val="24"/>
        </w:rPr>
        <w:t xml:space="preserve">of silver prices </w:t>
      </w:r>
      <w:r w:rsidR="00DE097C">
        <w:rPr>
          <w:rFonts w:ascii="Times New Roman" w:hAnsi="Times New Roman" w:cs="Times New Roman"/>
          <w:sz w:val="24"/>
          <w:szCs w:val="24"/>
        </w:rPr>
        <w:t>are important predictors of solar energy stock prices.</w:t>
      </w:r>
      <w:r w:rsidR="00D568C1">
        <w:rPr>
          <w:rFonts w:ascii="Times New Roman" w:hAnsi="Times New Roman" w:cs="Times New Roman"/>
          <w:sz w:val="24"/>
          <w:szCs w:val="24"/>
        </w:rPr>
        <w:t xml:space="preserve"> Dutta et al. </w:t>
      </w:r>
      <w:r w:rsidR="00D568C1">
        <w:rPr>
          <w:rFonts w:ascii="Times New Roman" w:hAnsi="Times New Roman" w:cs="Times New Roman"/>
          <w:sz w:val="24"/>
          <w:szCs w:val="24"/>
        </w:rPr>
        <w:fldChar w:fldCharType="begin"/>
      </w:r>
      <w:r w:rsidR="00D568C1">
        <w:rPr>
          <w:rFonts w:ascii="Times New Roman" w:hAnsi="Times New Roman" w:cs="Times New Roman"/>
          <w:sz w:val="24"/>
          <w:szCs w:val="24"/>
        </w:rPr>
        <w:instrText xml:space="preserve"> ADDIN ZOTERO_ITEM CSL_CITATION {"citationID":"sGViaz3g","properties":{"formattedCitation":"(2020)","plainCitation":"(2020)","noteIndex":0},"citationItems":[{"id":4146,"uris":["http://zotero.org/users/5823779/items/TQJKF46G"],"itemData":{"id":4146,"type":"article-journal","abstract":"Although clean energy equities have emerged as a new asset class for market participants, especially environmentally concerned investors, existing and previous studies pay very little attention to how equity investors in clean energy markets can reduce their downside risk. The authors of this paper address this void by considering the roles of the commodity market volatility indexes of crude oil, gold and silver. The results of the dynamic conditional correlation model show that commodity volatilities and clean energy equity prices move in opposite directions. Based on the hedging effectiveness, each of the three volatility indexes acts as an effective tool for reducing the risk of clean energy equity indexes. The implied volatility index of crude oil is the most effective tool, followed by that of gold and silver. Further analysis indicates the robustness of the results to the application of an asymmetric conditional correlation model. The ﬁndings extend the limited understanding of how to hedge the downside risk of clean energy stock indexes, and provide useful implications to market participants on the ability of implied volatility indexes of major commodities to hedge that risk.","container-title":"Journal of Cleaner Production","DOI":"10.1016/j.jclepro.2019.118669","ISSN":"09596526","journalAbbreviation":"Journal of Cleaner Production","language":"en","page":"118669","source":"DOI.org (Crossref)","title":"Assessment and optimization of clean energy equity risks and commodity price volatility indexes: Implications for sustainability","title-short":"Assessment and optimization of clean energy equity risks and commodity price volatility indexes","volume":"243","author":[{"family":"Dutta","given":"Anupam"},{"family":"Bouri","given":"Elie"},{"family":"Das","given":"Debojyoti"},{"family":"Roubaud","given":"David"}],"issued":{"date-parts":[["2020",1]]}},"suppress-author":true}],"schema":"https://github.com/citation-style-language/schema/raw/master/csl-citation.json"} </w:instrText>
      </w:r>
      <w:r w:rsidR="00D568C1">
        <w:rPr>
          <w:rFonts w:ascii="Times New Roman" w:hAnsi="Times New Roman" w:cs="Times New Roman"/>
          <w:sz w:val="24"/>
          <w:szCs w:val="24"/>
        </w:rPr>
        <w:fldChar w:fldCharType="separate"/>
      </w:r>
      <w:r w:rsidR="00D568C1" w:rsidRPr="00D568C1">
        <w:rPr>
          <w:rFonts w:ascii="Times New Roman" w:hAnsi="Times New Roman" w:cs="Times New Roman"/>
          <w:sz w:val="24"/>
        </w:rPr>
        <w:t>(2020)</w:t>
      </w:r>
      <w:r w:rsidR="00D568C1">
        <w:rPr>
          <w:rFonts w:ascii="Times New Roman" w:hAnsi="Times New Roman" w:cs="Times New Roman"/>
          <w:sz w:val="24"/>
          <w:szCs w:val="24"/>
        </w:rPr>
        <w:fldChar w:fldCharType="end"/>
      </w:r>
      <w:r w:rsidR="00D568C1">
        <w:rPr>
          <w:rFonts w:ascii="Times New Roman" w:hAnsi="Times New Roman" w:cs="Times New Roman"/>
          <w:sz w:val="24"/>
          <w:szCs w:val="24"/>
        </w:rPr>
        <w:t xml:space="preserve"> study how useful gold, silver, and oil volatility indices are for hedging downside risk of clean energy equities. They find that the crude oil volatility index is the most effective hedging asset followed by gold and silver.</w:t>
      </w:r>
    </w:p>
    <w:p w14:paraId="7013C369" w14:textId="0ACB0CF1" w:rsidR="008D2D7E" w:rsidRDefault="008D2D7E" w:rsidP="007C1EC8">
      <w:pPr>
        <w:spacing w:after="0" w:line="480" w:lineRule="auto"/>
        <w:rPr>
          <w:rFonts w:ascii="Times New Roman" w:hAnsi="Times New Roman" w:cs="Times New Roman"/>
          <w:sz w:val="24"/>
          <w:szCs w:val="24"/>
          <w:lang w:bidi="en-US"/>
        </w:rPr>
      </w:pPr>
      <w:r>
        <w:rPr>
          <w:rFonts w:ascii="Times New Roman" w:hAnsi="Times New Roman" w:cs="Times New Roman"/>
          <w:sz w:val="24"/>
          <w:szCs w:val="24"/>
          <w:lang w:bidi="en-US"/>
        </w:rPr>
        <w:tab/>
        <w:t>Economic policy uncertainty in the form of uncertainty about fiscal policy, monetary policy and regulatory uncertainty can affect business decision</w:t>
      </w:r>
      <w:r w:rsidR="004D483C">
        <w:rPr>
          <w:rFonts w:ascii="Times New Roman" w:hAnsi="Times New Roman" w:cs="Times New Roman"/>
          <w:sz w:val="24"/>
          <w:szCs w:val="24"/>
          <w:lang w:bidi="en-US"/>
        </w:rPr>
        <w:t>s</w:t>
      </w:r>
      <w:r>
        <w:rPr>
          <w:rFonts w:ascii="Times New Roman" w:hAnsi="Times New Roman" w:cs="Times New Roman"/>
          <w:sz w:val="24"/>
          <w:szCs w:val="24"/>
          <w:lang w:bidi="en-US"/>
        </w:rPr>
        <w:t xml:space="preserve"> and financial markets </w:t>
      </w:r>
      <w:r>
        <w:rPr>
          <w:rFonts w:ascii="Times New Roman" w:hAnsi="Times New Roman" w:cs="Times New Roman"/>
          <w:sz w:val="24"/>
          <w:szCs w:val="24"/>
          <w:lang w:bidi="en-US"/>
        </w:rPr>
        <w:fldChar w:fldCharType="begin"/>
      </w:r>
      <w:r>
        <w:rPr>
          <w:rFonts w:ascii="Times New Roman" w:hAnsi="Times New Roman" w:cs="Times New Roman"/>
          <w:sz w:val="24"/>
          <w:szCs w:val="24"/>
          <w:lang w:bidi="en-US"/>
        </w:rPr>
        <w:instrText xml:space="preserve"> ADDIN ZOTERO_ITEM CSL_CITATION {"citationID":"dvqDrK3Q","properties":{"formattedCitation":"(Baker et al., 2016)","plainCitation":"(Baker et al., 2016)","noteIndex":0},"citationItems":[{"id":232,"uris":["http://zotero.org/users/5823779/items/YEF2P5YZ"],"itemData":{"id":232,"type":"article-journal","abstract":"Abstract.  We develop a new index of economic policy uncertainty (EPU) based on newspaper\n                    coverage frequency. Several types of evidence—incl","container-title":"The Quarterly Journal of Economics","DOI":"10.1093/qje/qjw024","ISSN":"0033-5533","issue":"4","journalAbbreviation":"Q J Econ","language":"en","page":"1593-1636","source":"academic.oup.com","title":"Measuring Economic Policy Uncertainty","volume":"131","author":[{"family":"Baker","given":"Scott R."},{"family":"Bloom","given":"Nicholas"},{"family":"Davis","given":"Steven J."}],"issued":{"date-parts":[["2016",11,1]]}}}],"schema":"https://github.com/citation-style-language/schema/raw/master/csl-citation.json"} </w:instrText>
      </w:r>
      <w:r>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(Baker et al., 2016)</w:t>
      </w:r>
      <w:r>
        <w:rPr>
          <w:rFonts w:ascii="Times New Roman" w:hAnsi="Times New Roman" w:cs="Times New Roman"/>
          <w:sz w:val="24"/>
          <w:szCs w:val="24"/>
          <w:lang w:bidi="en-US"/>
        </w:rPr>
        <w:fldChar w:fldCharType="end"/>
      </w:r>
      <w:r>
        <w:rPr>
          <w:rFonts w:ascii="Times New Roman" w:hAnsi="Times New Roman" w:cs="Times New Roman"/>
          <w:sz w:val="24"/>
          <w:szCs w:val="24"/>
          <w:lang w:bidi="en-US"/>
        </w:rPr>
        <w:t xml:space="preserve">. In the face of uncertainty, businesses are reluctant to commit to capital spending which affects current and future productivity and profitability </w:t>
      </w:r>
      <w:r>
        <w:rPr>
          <w:rFonts w:ascii="Times New Roman" w:hAnsi="Times New Roman" w:cs="Times New Roman"/>
          <w:sz w:val="24"/>
          <w:szCs w:val="24"/>
          <w:lang w:bidi="en-US"/>
        </w:rPr>
        <w:fldChar w:fldCharType="begin"/>
      </w:r>
      <w:r>
        <w:rPr>
          <w:rFonts w:ascii="Times New Roman" w:hAnsi="Times New Roman" w:cs="Times New Roman"/>
          <w:sz w:val="24"/>
          <w:szCs w:val="24"/>
          <w:lang w:bidi="en-US"/>
        </w:rPr>
        <w:instrText xml:space="preserve"> ADDIN ZOTERO_ITEM CSL_CITATION {"citationID":"oQe9DbJJ","properties":{"formattedCitation":"(P\\uc0\\u225{}stor and Veronesi, 2012)","plainCitation":"(Pástor and Veronesi, 2012)","noteIndex":0},"citationItems":[{"id":229,"uris":["http://zotero.org/users/5823779/items/336TB8CY"],"itemData":{"id":229,"type":"article-journal","abstract":"We analyze how changes in government policy affect stock prices. Our general equilibrium model features uncertainty about government policy and a government whose decisions have both economic and noneconomic motives. The model makes numerous empirical predictions. Stock prices should fall at the announcement of a policy change, on average. The price decline should be large if uncertainty about government policy is large, and also if the policy change is preceded by a short or shallow economic downturn. Policy changes should increase volatilities and correlations among stocks. The jump risk premium associated with policy decisions should be positive, on average.","container-title":"The Journal of Finance","DOI":"10.1111/j.1540-6261.2012.01746.x","ISSN":"1540-6261","issue":"4","language":"en","page":"1219-1264","source":"Wiley Online Library","title":"Uncertainty about Government Policy and Stock Prices","volume":"67","author":[{"family":"Pástor","given":"L̆ubos̆"},{"family":"Veronesi","given":"Pietro"}],"issued":{"date-parts":[["2012"]]}}}],"schema":"https://github.com/citation-style-language/schema/raw/master/csl-citation.json"} </w:instrText>
      </w:r>
      <w:r>
        <w:rPr>
          <w:rFonts w:ascii="Times New Roman" w:hAnsi="Times New Roman" w:cs="Times New Roman"/>
          <w:sz w:val="24"/>
          <w:szCs w:val="24"/>
          <w:lang w:bidi="en-US"/>
        </w:rPr>
        <w:fldChar w:fldCharType="separate"/>
      </w:r>
      <w:r w:rsidR="00F31A70" w:rsidRPr="00F31A70">
        <w:rPr>
          <w:rFonts w:ascii="Times New Roman" w:hAnsi="Times New Roman" w:cs="Times New Roman"/>
          <w:sz w:val="24"/>
          <w:szCs w:val="24"/>
        </w:rPr>
        <w:t>(Pástor and Veronesi, 2012)</w:t>
      </w:r>
      <w:r>
        <w:rPr>
          <w:rFonts w:ascii="Times New Roman" w:hAnsi="Times New Roman" w:cs="Times New Roman"/>
          <w:sz w:val="24"/>
          <w:szCs w:val="24"/>
          <w:lang w:bidi="en-US"/>
        </w:rPr>
        <w:fldChar w:fldCharType="end"/>
      </w:r>
      <w:r>
        <w:rPr>
          <w:rFonts w:ascii="Times New Roman" w:hAnsi="Times New Roman" w:cs="Times New Roman"/>
          <w:sz w:val="24"/>
          <w:szCs w:val="24"/>
          <w:lang w:bidi="en-US"/>
        </w:rPr>
        <w:t xml:space="preserve">. An increase in economic policy uncertainty can indicate worsening economic performance which will affect the cost of capital and other real option decisions </w:t>
      </w:r>
      <w:r>
        <w:rPr>
          <w:rFonts w:ascii="Times New Roman" w:hAnsi="Times New Roman" w:cs="Times New Roman"/>
          <w:sz w:val="24"/>
          <w:szCs w:val="24"/>
          <w:lang w:bidi="en-US"/>
        </w:rPr>
        <w:fldChar w:fldCharType="begin"/>
      </w:r>
      <w:r>
        <w:rPr>
          <w:rFonts w:ascii="Times New Roman" w:hAnsi="Times New Roman" w:cs="Times New Roman"/>
          <w:sz w:val="24"/>
          <w:szCs w:val="24"/>
          <w:lang w:bidi="en-US"/>
        </w:rPr>
        <w:instrText xml:space="preserve"> ADDIN ZOTERO_ITEM CSL_CITATION {"citationID":"HpzVxGAQ","properties":{"formattedCitation":"(Arouri et al., 2016)","plainCitation":"(Arouri et al., 2016)","noteIndex":0},"citationItems":[{"id":368,"uris":["http://zotero.org/users/5823779/items/K8FQVVQW"],"itemData":{"id":368,"type":"article-journal","abstract":"We contribute to the literature by studying the impact of economic policy uncertainty on stock markets in the United States over the period 1900–2014. We show that an increase in policy uncertainty reduces significantly stock returns and that this effect is stronger and persistent during extreme volatility periods.","container-title":"Finance Research Letters","DOI":"10.1016/j.frl.2016.04.011","ISSN":"1544-6123","journalAbbreviation":"Finance Research Letters","page":"136-141","source":"ScienceDirect","title":"Economic policy uncertainty and stock markets: Long-run evidence from the US","title-short":"Economic policy uncertainty and stock markets","volume":"18","author":[{"family":"Arouri","given":"Mohamed"},{"family":"Estay","given":"Christophe"},{"family":"Rault","given":"Christophe"},{"family":"Roubaud","given":"David"}],"issued":{"date-parts":[["2016",8,1]]}}}],"schema":"https://github.com/citation-style-language/schema/raw/master/csl-citation.json"} </w:instrText>
      </w:r>
      <w:r>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(Arouri et al., 2016)</w:t>
      </w:r>
      <w:r>
        <w:rPr>
          <w:rFonts w:ascii="Times New Roman" w:hAnsi="Times New Roman" w:cs="Times New Roman"/>
          <w:sz w:val="24"/>
          <w:szCs w:val="24"/>
          <w:lang w:bidi="en-US"/>
        </w:rPr>
        <w:fldChar w:fldCharType="end"/>
      </w:r>
      <w:r>
        <w:rPr>
          <w:rFonts w:ascii="Times New Roman" w:hAnsi="Times New Roman" w:cs="Times New Roman"/>
          <w:sz w:val="24"/>
          <w:szCs w:val="24"/>
          <w:lang w:bidi="en-US"/>
        </w:rPr>
        <w:t>.</w:t>
      </w:r>
    </w:p>
    <w:p w14:paraId="02CB013A" w14:textId="43B9E734" w:rsidR="00C462F2" w:rsidRDefault="00EC18C2" w:rsidP="00C4036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Lundgren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{"citationID":"b7chK74H","properties":{"formattedCitation":"(2018)","plainCitation":"(2018)","noteIndex":0},"citationItems":[{"id":3656,"uris":["http://zotero.org/users/5823779/items/N5M9UFLA"],"itemData":{"id":3656,"type":"article-journal","abstract":"We present an empirical study of renewable energy stock returns and their relation to four major investment asset classes—stocks, currency, US Treasury bonds, and oil—and several sources of uncertainty. Applying nonlinear causality and connectedness network analysis on data covering the period 2004–2016, we investigate the directionality and connectedness among different asset classes, as well as between uncertainties. First, from the results of the estimation of directionality and network spillovers, it can be concluded that the European stock market has a strong market dependence on renewable energy stock prices. Second, uncertainties have an economically significant impact on both return and volatility spillover in energy investments. Third, most of the uncertainties are net transmitters of volatility connectedness during the global financial crisis (GFC) and European sovereign debt crisis (ESDC).","container-title":"Energy Economics","DOI":"10.1016/j.eneco.2018.04.015","ISSN":"0140-9883","journalAbbreviation":"Energy Economics","language":"en","page":"145-153","source":"ScienceDirect","title":"Connectedness network and dependence structure mechanism in green investments","volume":"72","author":[{"family":"Lundgren","given":"Amanda Ivarsson"},{"family":"Milicevic","given":"Adriana"},{"family":"Uddin","given":"Gazi Salah"},{"family":"Kang","given":"Sang Hoon"}],"issued":{"date-parts":[["2018",5,1]]}},"suppress-author":true}],"schema":"https://github.com/citation-style-language/schema/raw/master/csl-citation.json"} </w:instrText>
      </w:r>
      <w:r>
        <w:rPr>
          <w:rFonts w:ascii="Times New Roman" w:hAnsi="Times New Roman" w:cs="Times New Roman"/>
          <w:sz w:val="24"/>
          <w:szCs w:val="24"/>
        </w:rPr>
        <w:fldChar w:fldCharType="separate"/>
      </w:r>
      <w:r w:rsidR="00F31A70" w:rsidRPr="00F31A70">
        <w:rPr>
          <w:rFonts w:ascii="Times New Roman" w:hAnsi="Times New Roman" w:cs="Times New Roman"/>
          <w:sz w:val="24"/>
        </w:rPr>
        <w:t>(2018)</w:t>
      </w:r>
      <w:r>
        <w:rPr>
          <w:rFonts w:ascii="Times New Roman" w:hAnsi="Times New Roman" w:cs="Times New Roman"/>
          <w:sz w:val="24"/>
          <w:szCs w:val="24"/>
        </w:rPr>
        <w:fldChar w:fldCharType="end"/>
      </w:r>
      <w:r>
        <w:rPr>
          <w:rFonts w:ascii="Times New Roman" w:hAnsi="Times New Roman" w:cs="Times New Roman"/>
          <w:sz w:val="24"/>
          <w:szCs w:val="24"/>
        </w:rPr>
        <w:t xml:space="preserve"> find that uncertainty variables </w:t>
      </w:r>
      <w:r w:rsidR="00B8187A">
        <w:rPr>
          <w:rFonts w:ascii="Times New Roman" w:hAnsi="Times New Roman" w:cs="Times New Roman"/>
          <w:sz w:val="24"/>
          <w:szCs w:val="24"/>
        </w:rPr>
        <w:t xml:space="preserve">(VIX and financial stress) </w:t>
      </w:r>
      <w:r>
        <w:rPr>
          <w:rFonts w:ascii="Times New Roman" w:hAnsi="Times New Roman" w:cs="Times New Roman"/>
          <w:sz w:val="24"/>
          <w:szCs w:val="24"/>
        </w:rPr>
        <w:t xml:space="preserve">have a significant impact on clean energy stock returns and volatility. Uncertainty is mostly a net transmitter of connectedness during the global financial crisis and the European debt crisis. </w:t>
      </w:r>
      <w:r w:rsidR="002B69D1">
        <w:rPr>
          <w:rFonts w:ascii="Times New Roman" w:hAnsi="Times New Roman" w:cs="Times New Roman"/>
          <w:sz w:val="24"/>
          <w:szCs w:val="24"/>
        </w:rPr>
        <w:t xml:space="preserve">Ferrer et al. </w:t>
      </w:r>
      <w:r w:rsidR="002B69D1">
        <w:rPr>
          <w:rFonts w:ascii="Times New Roman" w:hAnsi="Times New Roman" w:cs="Times New Roman"/>
          <w:sz w:val="24"/>
          <w:szCs w:val="24"/>
        </w:rPr>
        <w:fldChar w:fldCharType="begin"/>
      </w:r>
      <w:r w:rsidR="002B69D1">
        <w:rPr>
          <w:rFonts w:ascii="Times New Roman" w:hAnsi="Times New Roman" w:cs="Times New Roman"/>
          <w:sz w:val="24"/>
          <w:szCs w:val="24"/>
        </w:rPr>
        <w:instrText xml:space="preserve"> ADDIN ZOTERO_ITEM CSL_CITATION {"citationID":"aQzfucH7","properties":{"formattedCitation":"(2018)","plainCitation":"(2018)","noteIndex":0},"citationItems":[{"id":2629,"uris":["http://zotero.org/users/5823779/items/SKFAT9YN"],"itemData":{"id":2629,"type":"article-journal","abstract":"This paper examines the time and frequency dynamics of connectedness among stock prices of U.S. clean energy companies, crude oil prices and a number of key financial variables using the methodology developed by Barunik and Krehlik (2018). This approach allows measuring the dynamics of return and volatility connectedness over time and across frequencies simultaneously. The empirical results show that most of return and volatility connectedness is generated in the very short-term, i.e. movements up to five days, while the long-term plays a minor role. Our analysis further reveals a greater degree of interconnectedness across crude oil and financial markets since the onset of the U.S. subprime mortgage crisis in summer of 2007, consistent with the view of a global re-pricing of risk triggered by the recent worldwide financial crisis. Crude oil prices do not appear as a key driver of the stock market performance of renewable energy companies in the short-term or the long-term, which suggests a decoupling of the alternative energy industry from the traditional energy market. Moreover, crude oil prices are a net receiver of financial shocks, supporting the financialization of the commodity markets since the early 2000s. In addition, a significant pairwise connectedness is found, mainly in the short-term, between clean energy and technology stock prices, indicating that these two types of stocks are perceived by investors as similar assets. These results can have important practical implications for investors and policy makers with different time horizons.","container-title":"Energy Economics","DOI":"10.1016/j.eneco.2018.09.022","ISSN":"0140-9883","journalAbbreviation":"Energy Economics","language":"en","page":"1-20","source":"ScienceDirect","title":"Time and frequency dynamics of connectedness between renewable energy stocks and crude oil prices","volume":"76","author":[{"family":"Ferrer","given":"Román"},{"family":"Shahzad","given":"Syed Jawad Hussain"},{"family":"López","given":"Raquel"},{"family":"Jareño","given":"Francisco"}],"issued":{"date-parts":[["2018",10,1]]}},"suppress-author":true}],"schema":"https://github.com/citation-style-language/schema/raw/master/csl-citation.json"} </w:instrText>
      </w:r>
      <w:r w:rsidR="002B69D1">
        <w:rPr>
          <w:rFonts w:ascii="Times New Roman" w:hAnsi="Times New Roman" w:cs="Times New Roman"/>
          <w:sz w:val="24"/>
          <w:szCs w:val="24"/>
        </w:rPr>
        <w:fldChar w:fldCharType="separate"/>
      </w:r>
      <w:r w:rsidR="00F31A70" w:rsidRPr="00F31A70">
        <w:rPr>
          <w:rFonts w:ascii="Times New Roman" w:hAnsi="Times New Roman" w:cs="Times New Roman"/>
          <w:sz w:val="24"/>
        </w:rPr>
        <w:t>(2018)</w:t>
      </w:r>
      <w:r w:rsidR="002B69D1">
        <w:rPr>
          <w:rFonts w:ascii="Times New Roman" w:hAnsi="Times New Roman" w:cs="Times New Roman"/>
          <w:sz w:val="24"/>
          <w:szCs w:val="24"/>
        </w:rPr>
        <w:fldChar w:fldCharType="end"/>
      </w:r>
      <w:r w:rsidR="002B69D1">
        <w:rPr>
          <w:rFonts w:ascii="Times New Roman" w:hAnsi="Times New Roman" w:cs="Times New Roman"/>
          <w:sz w:val="24"/>
          <w:szCs w:val="24"/>
        </w:rPr>
        <w:t xml:space="preserve"> using time and frequency connectedness and controlling for the impact of financial factors find that clean energy stocks are similar to technology stocks. </w:t>
      </w:r>
      <w:r w:rsidR="00B60187">
        <w:rPr>
          <w:rFonts w:ascii="Times New Roman" w:hAnsi="Times New Roman" w:cs="Times New Roman"/>
          <w:sz w:val="24"/>
          <w:szCs w:val="24"/>
        </w:rPr>
        <w:t xml:space="preserve">In comparing the impact of financial market uncertainty, oil market uncertainty, and economic policy uncertainty on </w:t>
      </w:r>
      <w:r w:rsidR="00773257">
        <w:rPr>
          <w:rFonts w:ascii="Times New Roman" w:hAnsi="Times New Roman" w:cs="Times New Roman"/>
          <w:sz w:val="24"/>
          <w:szCs w:val="24"/>
        </w:rPr>
        <w:t xml:space="preserve">clean energy stocks, Ji et al. </w:t>
      </w:r>
      <w:r w:rsidR="00773257">
        <w:rPr>
          <w:rFonts w:ascii="Times New Roman" w:hAnsi="Times New Roman" w:cs="Times New Roman"/>
          <w:sz w:val="24"/>
          <w:szCs w:val="24"/>
        </w:rPr>
        <w:fldChar w:fldCharType="begin"/>
      </w:r>
      <w:r w:rsidR="00773257">
        <w:rPr>
          <w:rFonts w:ascii="Times New Roman" w:hAnsi="Times New Roman" w:cs="Times New Roman"/>
          <w:sz w:val="24"/>
          <w:szCs w:val="24"/>
        </w:rPr>
        <w:instrText xml:space="preserve"> ADDIN ZOTERO_ITEM CSL_CITATION {"citationID":"1mRZf6Y5","properties":{"formattedCitation":"(2018)","plainCitation":"(2018)","noteIndex":0},"citationItems":[{"id":3658,"uris":["http://zotero.org/users/5823779/items/SC7HFUIB"],"itemData":{"id":3658,"type":"article-journal","abstract":"In this paper, we explore the impact of uncertainties on energy prices by measuring four types of Delta Conditional Value-at-Risk (∆CoVaR) using six time-varying copulas. Three different measures of uncertainty (economic policy, financial markets and energy markets) are considered, and the magnitude and asymmetric effects of their influence are investigated. Our results suggest that there generally exists negative dependence between energy returns and changes in uncertainty. The risks of clean energy and crude oil returns are more sensitive to uncertainties in the financial and energy markets, while the impact of economic policy uncertainty is relatively weak. The upside and downside CoVaRs and ∆CoVaRs demonstrate significant asymmetric effects in response to extreme uncertainty movement. Our findings therefore have important implications for energy portfolio investment.","container-title":"Energy Economics","DOI":"10.1016/j.eneco.2018.10.010","ISSN":"0140-9883","journalAbbreviation":"Energy Economics","language":"en","page":"115-126","source":"ScienceDirect","title":"Uncertainties and extreme risk spillover in the energy markets: A time-varying copula-based CoVaR approach","title-short":"Uncertainties and extreme risk spillover in the energy markets","volume":"76","author":[{"family":"Ji","given":"Qiang"},{"family":"Liu","given":"Bing-Yue"},{"family":"Nehler","given":"Henrik"},{"family":"Uddin","given":"Gazi Salah"}],"issued":{"date-parts":[["2018",10,1]]}},"suppress-author":true}],"schema":"https://github.com/citation-style-language/schema/raw/master/csl-citation.json"} </w:instrText>
      </w:r>
      <w:r w:rsidR="00773257">
        <w:rPr>
          <w:rFonts w:ascii="Times New Roman" w:hAnsi="Times New Roman" w:cs="Times New Roman"/>
          <w:sz w:val="24"/>
          <w:szCs w:val="24"/>
        </w:rPr>
        <w:fldChar w:fldCharType="separate"/>
      </w:r>
      <w:r w:rsidR="00F31A70" w:rsidRPr="00F31A70">
        <w:rPr>
          <w:rFonts w:ascii="Times New Roman" w:hAnsi="Times New Roman" w:cs="Times New Roman"/>
          <w:sz w:val="24"/>
        </w:rPr>
        <w:t>(2018)</w:t>
      </w:r>
      <w:r w:rsidR="00773257">
        <w:rPr>
          <w:rFonts w:ascii="Times New Roman" w:hAnsi="Times New Roman" w:cs="Times New Roman"/>
          <w:sz w:val="24"/>
          <w:szCs w:val="24"/>
        </w:rPr>
        <w:fldChar w:fldCharType="end"/>
      </w:r>
      <w:r w:rsidR="00773257">
        <w:rPr>
          <w:rFonts w:ascii="Times New Roman" w:hAnsi="Times New Roman" w:cs="Times New Roman"/>
          <w:sz w:val="24"/>
          <w:szCs w:val="24"/>
        </w:rPr>
        <w:t xml:space="preserve"> find that economic policy uncertainty has a weaker effect than the other two uncertainty variables</w:t>
      </w:r>
      <w:r w:rsidR="00037E67">
        <w:rPr>
          <w:rFonts w:ascii="Times New Roman" w:hAnsi="Times New Roman" w:cs="Times New Roman"/>
          <w:sz w:val="24"/>
          <w:szCs w:val="24"/>
        </w:rPr>
        <w:t xml:space="preserve">. </w:t>
      </w:r>
      <w:r w:rsidR="00B8187A">
        <w:rPr>
          <w:rFonts w:ascii="Times New Roman" w:hAnsi="Times New Roman" w:cs="Times New Roman"/>
          <w:sz w:val="24"/>
          <w:szCs w:val="24"/>
        </w:rPr>
        <w:t xml:space="preserve">Liu and </w:t>
      </w:r>
      <w:proofErr w:type="spellStart"/>
      <w:r w:rsidR="00B8187A">
        <w:rPr>
          <w:rFonts w:ascii="Times New Roman" w:hAnsi="Times New Roman" w:cs="Times New Roman"/>
          <w:sz w:val="24"/>
          <w:szCs w:val="24"/>
        </w:rPr>
        <w:t>Hamori</w:t>
      </w:r>
      <w:proofErr w:type="spellEnd"/>
      <w:r w:rsidR="00B8187A">
        <w:rPr>
          <w:rFonts w:ascii="Times New Roman" w:hAnsi="Times New Roman" w:cs="Times New Roman"/>
          <w:sz w:val="24"/>
          <w:szCs w:val="24"/>
        </w:rPr>
        <w:t xml:space="preserve"> </w:t>
      </w:r>
      <w:r w:rsidR="00B8187A">
        <w:rPr>
          <w:rFonts w:ascii="Times New Roman" w:hAnsi="Times New Roman" w:cs="Times New Roman"/>
          <w:sz w:val="24"/>
          <w:szCs w:val="24"/>
        </w:rPr>
        <w:fldChar w:fldCharType="begin"/>
      </w:r>
      <w:r w:rsidR="00B8187A">
        <w:rPr>
          <w:rFonts w:ascii="Times New Roman" w:hAnsi="Times New Roman" w:cs="Times New Roman"/>
          <w:sz w:val="24"/>
          <w:szCs w:val="24"/>
        </w:rPr>
        <w:instrText xml:space="preserve"> ADDIN ZOTERO_ITEM CSL_CITATION {"citationID":"baT39GyO","properties":{"formattedCitation":"(2020)","plainCitation":"(2020)","noteIndex":0},"citationItems":[{"id":3662,"uris":["http://zotero.org/users/5823779/items/5SCL48JA"],"itemData":{"id":3662,"type":"article-journal","abstract":"This paper examines the spillovers of return and volatility transmitted from fossil energies (crude oil and natural gas) and several important financial variables (stock market index, bonds, and the volatility index) to renewable stock markets in the US and Europe under the time-frequency domain frameworks. The total spillovers of return and volatility from all variables to renewable stock markets in the US are higher than those in Europe. Stock markets transmit the highest return spillovers to renewable energy stocks, which far exceed the spillovers from fossil energy to renewable energy stocks in both regions. In addition, both return and volatility spillovers could be enhanced, possibly due to specific events or sudden changes in prices. In particular, extreme events such as the Brexit referendum in 2016 influenced mostly the volatility spillovers across European markets. Moreover, the spillovers of return and volatility are contingent on frequency, and most return spillovers are concentrated at the high frequency, whereas most volatility spillovers are concentrated at the low frequency. These results remind investors that it is necessary to consider the investment horizon when making their financial decisions on renewable energy investment.","container-title":"Energies","DOI":"10.3390/en13123162","ISSN":"1996-1073","issue":"12","language":"en","note":"number: 12\npublisher: Multidisciplinary Digital Publishing Institute","page":"3162","source":"www.mdpi.com","title":"Spillovers to Renewable Energy Stocks in the US and Europe: Are They Different?","title-short":"Spillovers to Renewable Energy Stocks in the US and Europe","volume":"13","author":[{"family":"Liu","given":"Tiantian"},{"family":"Hamori","given":"Shigeyuki"}],"issued":{"date-parts":[["2020",1]]}},"suppress-author":true}],"schema":"https://github.com/citation-style-language/schema/raw/master/csl-citation.json"} </w:instrText>
      </w:r>
      <w:r w:rsidR="00B8187A">
        <w:rPr>
          <w:rFonts w:ascii="Times New Roman" w:hAnsi="Times New Roman" w:cs="Times New Roman"/>
          <w:sz w:val="24"/>
          <w:szCs w:val="24"/>
        </w:rPr>
        <w:fldChar w:fldCharType="separate"/>
      </w:r>
      <w:r w:rsidR="00F31A70" w:rsidRPr="00F31A70">
        <w:rPr>
          <w:rFonts w:ascii="Times New Roman" w:hAnsi="Times New Roman" w:cs="Times New Roman"/>
          <w:sz w:val="24"/>
        </w:rPr>
        <w:t>(2020)</w:t>
      </w:r>
      <w:r w:rsidR="00B8187A">
        <w:rPr>
          <w:rFonts w:ascii="Times New Roman" w:hAnsi="Times New Roman" w:cs="Times New Roman"/>
          <w:sz w:val="24"/>
          <w:szCs w:val="24"/>
        </w:rPr>
        <w:fldChar w:fldCharType="end"/>
      </w:r>
      <w:r w:rsidR="00B8187A">
        <w:rPr>
          <w:rFonts w:ascii="Times New Roman" w:hAnsi="Times New Roman" w:cs="Times New Roman"/>
          <w:sz w:val="24"/>
          <w:szCs w:val="24"/>
        </w:rPr>
        <w:t xml:space="preserve"> Find that the VIX has a significant impact on renewable energy stocks and the impact of stock market uncertainty on clean energy stocks is greater in the US as compared to Europe. </w:t>
      </w:r>
      <w:r w:rsidR="00F63022">
        <w:rPr>
          <w:rFonts w:ascii="Times New Roman" w:hAnsi="Times New Roman" w:cs="Times New Roman"/>
          <w:sz w:val="24"/>
          <w:szCs w:val="24"/>
        </w:rPr>
        <w:t xml:space="preserve">Zhao </w:t>
      </w:r>
      <w:r w:rsidR="00F63022">
        <w:rPr>
          <w:rFonts w:ascii="Times New Roman" w:hAnsi="Times New Roman" w:cs="Times New Roman"/>
          <w:sz w:val="24"/>
          <w:szCs w:val="24"/>
        </w:rPr>
        <w:fldChar w:fldCharType="begin"/>
      </w:r>
      <w:r w:rsidR="00F63022">
        <w:rPr>
          <w:rFonts w:ascii="Times New Roman" w:hAnsi="Times New Roman" w:cs="Times New Roman"/>
          <w:sz w:val="24"/>
          <w:szCs w:val="24"/>
        </w:rPr>
        <w:instrText xml:space="preserve"> ADDIN ZOTERO_ITEM CSL_CITATION {"citationID":"A27sCJ25","properties":{"formattedCitation":"(2020)","plainCitation":"(2020)","noteIndex":0},"citationItems":[{"id":3648,"uris":["http://zotero.org/users/5823779/items/LQ678CYD"],"itemData":{"id":3648,"type":"article-journal","abstract":"This paper investigates the effects of oil price shocks and policy uncertainty on the stock returns of clean energy companies. We use a structural vector autoregressive (VAR) model to separate demand and supply shocks in the global crude oil market from 2001 to 2018. We find that oil supply shocks and aggregated demand shocks have a positive effect on the returns of clean energy companies, while policy uncertainty shocks and oil-specific-demand shocks have a negative effect. The impacts of these shocks are shown to last relatively long. Moreover, the effects of oil shocks on the clean energy stock returns are amplified by adding policy uncertainty as an endogenously driven factor to the model. The impact of policy uncertainty is mainly transmitted through the uncertainty of inflation.","container-title":"Journal of Economic Structures","DOI":"10.1186/s40008-020-00229-x","ISSN":"2193-2409","issue":"1","journalAbbreviation":"Economic Structures","language":"en","page":"53","source":"Springer Link","title":"Do the stock returns of clean energy corporations respond to oil price shocks and policy uncertainty?","volume":"9","author":[{"family":"Zhao","given":"Xiaohui"}],"issued":{"date-parts":[["2020",9,9]]}},"suppress-author":true}],"schema":"https://github.com/citation-style-language/schema/raw/master/csl-citation.json"} </w:instrText>
      </w:r>
      <w:r w:rsidR="00F63022">
        <w:rPr>
          <w:rFonts w:ascii="Times New Roman" w:hAnsi="Times New Roman" w:cs="Times New Roman"/>
          <w:sz w:val="24"/>
          <w:szCs w:val="24"/>
        </w:rPr>
        <w:fldChar w:fldCharType="separate"/>
      </w:r>
      <w:r w:rsidR="00F31A70" w:rsidRPr="00F31A70">
        <w:rPr>
          <w:rFonts w:ascii="Times New Roman" w:hAnsi="Times New Roman" w:cs="Times New Roman"/>
          <w:sz w:val="24"/>
        </w:rPr>
        <w:t>(2020)</w:t>
      </w:r>
      <w:r w:rsidR="00F63022">
        <w:rPr>
          <w:rFonts w:ascii="Times New Roman" w:hAnsi="Times New Roman" w:cs="Times New Roman"/>
          <w:sz w:val="24"/>
          <w:szCs w:val="24"/>
        </w:rPr>
        <w:fldChar w:fldCharType="end"/>
      </w:r>
      <w:r w:rsidR="00F63022">
        <w:rPr>
          <w:rFonts w:ascii="Times New Roman" w:hAnsi="Times New Roman" w:cs="Times New Roman"/>
          <w:sz w:val="24"/>
          <w:szCs w:val="24"/>
        </w:rPr>
        <w:t xml:space="preserve"> finds that economic </w:t>
      </w:r>
      <w:r w:rsidR="00F63022">
        <w:rPr>
          <w:rFonts w:ascii="Times New Roman" w:hAnsi="Times New Roman" w:cs="Times New Roman"/>
          <w:sz w:val="24"/>
          <w:szCs w:val="24"/>
        </w:rPr>
        <w:lastRenderedPageBreak/>
        <w:t xml:space="preserve">policy uncertainty shocks have a negative impact on clean energy stock prices. </w:t>
      </w:r>
      <w:r w:rsidR="00E504DD">
        <w:rPr>
          <w:rFonts w:ascii="Times New Roman" w:hAnsi="Times New Roman" w:cs="Times New Roman"/>
          <w:sz w:val="24"/>
          <w:szCs w:val="24"/>
        </w:rPr>
        <w:t xml:space="preserve">Chakrabarti and Sen </w:t>
      </w:r>
      <w:r w:rsidR="00E504DD">
        <w:rPr>
          <w:rFonts w:ascii="Times New Roman" w:hAnsi="Times New Roman" w:cs="Times New Roman"/>
          <w:sz w:val="24"/>
          <w:szCs w:val="24"/>
        </w:rPr>
        <w:fldChar w:fldCharType="begin"/>
      </w:r>
      <w:r w:rsidR="00E504DD">
        <w:rPr>
          <w:rFonts w:ascii="Times New Roman" w:hAnsi="Times New Roman" w:cs="Times New Roman"/>
          <w:sz w:val="24"/>
          <w:szCs w:val="24"/>
        </w:rPr>
        <w:instrText xml:space="preserve"> ADDIN ZOTERO_ITEM CSL_CITATION {"citationID":"1AmJDTqv","properties":{"formattedCitation":"(2021)","plainCitation":"(2021)","noteIndex":0},"citationItems":[{"id":4144,"uris":["http://zotero.org/users/5823779/items/S7CFB3SY"],"itemData":{"id":4144,"type":"article-journal","abstract":"We examine the nature of the time-varying market risk of investment in green stocks across US, Europe, and the Asia-Paciﬁc region, particularly during the periods of two recent global crises, 2007e08’s great recession and the recent SARS-CoV-2 crisis. We further explore the transmission mechanism of such risks, through both exogenous and endogenous channels. Time varying beta (TVB) is used to capture the risk. Suitable multivariate-GARCH model and CMAX method are used to locate exogenous channels in local and global markets. Finally, we explore the endogenous volatility channel examining deterministic chaos in the data. Results show that the US and European green stocks have signiﬁcant volatility spillover from the local market. They are also strongly integrated with global market. For the Asia-Paciﬁc green stocks, there is no spillover from the local market. However, they are weakly integrated with the global market. In US and Europe, global crisis weakens ﬁnancial integration, insulating from global market ﬂuctuations. But in Asia-Paciﬁc market, global crises strengthen ﬁnancial integration. The defensive green stocks exhibited remarkable resilience during both crises. The apparent resilience may attract investment in green stocks. Green stocks may be safe, but only apparently. The risk of green stocks lies in its chaotic nature that makes it endogenous to the system. With such chaotic market risks, an unfavorable reversal in investment optimism is possible. This calls for more caution for investors before investing in green stocks.","container-title":"Journal of Cleaner Production","DOI":"10.1016/j.jclepro.2021.127028","ISSN":"09596526","journalAbbreviation":"Journal of Cleaner Production","language":"en","page":"127028","source":"DOI.org (Crossref)","title":"Dynamic market risk of green stocks across regions: Where does the devil lie?","title-short":"Dynamic market risk of green stocks across regions","volume":"303","author":[{"family":"Chakrabarti","given":"Gagari"},{"family":"Sen","given":"Chitrakalpa"}],"issued":{"date-parts":[["2021",6]]}},"suppress-author":true}],"schema":"https://github.com/citation-style-language/schema/raw/master/csl-citation.json"} </w:instrText>
      </w:r>
      <w:r w:rsidR="00E504DD">
        <w:rPr>
          <w:rFonts w:ascii="Times New Roman" w:hAnsi="Times New Roman" w:cs="Times New Roman"/>
          <w:sz w:val="24"/>
          <w:szCs w:val="24"/>
        </w:rPr>
        <w:fldChar w:fldCharType="separate"/>
      </w:r>
      <w:r w:rsidR="00E504DD" w:rsidRPr="00E504DD">
        <w:rPr>
          <w:rFonts w:ascii="Times New Roman" w:hAnsi="Times New Roman" w:cs="Times New Roman"/>
          <w:sz w:val="24"/>
        </w:rPr>
        <w:t>(2021)</w:t>
      </w:r>
      <w:r w:rsidR="00E504DD">
        <w:rPr>
          <w:rFonts w:ascii="Times New Roman" w:hAnsi="Times New Roman" w:cs="Times New Roman"/>
          <w:sz w:val="24"/>
          <w:szCs w:val="24"/>
        </w:rPr>
        <w:fldChar w:fldCharType="end"/>
      </w:r>
      <w:r w:rsidR="00E504DD">
        <w:rPr>
          <w:rFonts w:ascii="Times New Roman" w:hAnsi="Times New Roman" w:cs="Times New Roman"/>
          <w:sz w:val="24"/>
          <w:szCs w:val="24"/>
        </w:rPr>
        <w:t xml:space="preserve"> study the market risk of green energy equities. They find that green stocks are defensive and may be of interest to investors who want protection against downside risk. Volatility spills over from domestic markets to green equities. Market risks and spillovers are more variable in the US and Europe than they are in Asia Pacific. Green stocks have shown resilience to the COVID-19 period. </w:t>
      </w:r>
      <w:r w:rsidR="00993083">
        <w:rPr>
          <w:rFonts w:ascii="Times New Roman" w:hAnsi="Times New Roman" w:cs="Times New Roman"/>
          <w:sz w:val="24"/>
          <w:szCs w:val="24"/>
        </w:rPr>
        <w:t xml:space="preserve">Saeed et al. </w:t>
      </w:r>
      <w:r w:rsidR="00993083">
        <w:rPr>
          <w:rFonts w:ascii="Times New Roman" w:hAnsi="Times New Roman" w:cs="Times New Roman"/>
          <w:sz w:val="24"/>
          <w:szCs w:val="24"/>
        </w:rPr>
        <w:fldChar w:fldCharType="begin"/>
      </w:r>
      <w:r w:rsidR="00993083">
        <w:rPr>
          <w:rFonts w:ascii="Times New Roman" w:hAnsi="Times New Roman" w:cs="Times New Roman"/>
          <w:sz w:val="24"/>
          <w:szCs w:val="24"/>
        </w:rPr>
        <w:instrText xml:space="preserve"> ADDIN ZOTERO_ITEM CSL_CITATION {"citationID":"HrUZvrpA","properties":{"formattedCitation":"(2021)","plainCitation":"(2021)","noteIndex":0},"citationItems":[{"id":3275,"uris":["http://zotero.org/users/5823779/items/8Z7CGMDT"],"itemData":{"id":3275,"type":"article-journal","abstract":"Previous studies point to the time-variation and asymmetry in the relationship between clean energy stocks and crude oil markets, but there is a lack of evidence on the return spillovers between clean/green assets and dirty energy assets (crude oil and energy ETF) in lower and upper quantiles, and their potential drivers. To address these gaps, we apply quantile-based estimators to measure return connectedness at left and right tails of the conditional distribution of return shocks. We ﬁnd that the average level of return connectedness estimated at the mean/median is 29%, whereas it reaches 65% when estimated at the left and right tails. Thus, return connectedness across clean energy stocks, green bonds, crude oil, and energy ETF is larger at both left and right tails, implying that the unsuitability of applying mean-based connectedness measures. Furthermore, we show that return connectedness measures vary with time, but they are less volatile in the tails. Notably, return connectedness differs between periods of extreme negative returns and periods of extreme negative returns, suggesting an asymmetric behaviour. An analysis of the drivers of the return connectedness shows the importance of macroeconomic conditions, especially at middle and lower quantiles. US dollar has a positive impact in all cases, whereas the crude oil market uncertainty intensiﬁes the return spillovers at the lower quantile.","container-title":"Energy Economics","DOI":"10.1016/j.eneco.2020.105017","ISSN":"01409883","journalAbbreviation":"Energy Economics","language":"en","page":"105017","source":"DOI.org (Crossref)","title":"Extreme return connectedness and its determinants between clean/green and dirty energy investments","volume":"96","author":[{"family":"Saeed","given":"Tareq"},{"family":"Bouri","given":"Elie"},{"family":"Alsulami","given":"Hamed"}],"issued":{"date-parts":[["2021",4]]}},"suppress-author":true}],"schema":"https://github.com/citation-style-language/schema/raw/master/csl-citation.json"} </w:instrText>
      </w:r>
      <w:r w:rsidR="00993083">
        <w:rPr>
          <w:rFonts w:ascii="Times New Roman" w:hAnsi="Times New Roman" w:cs="Times New Roman"/>
          <w:sz w:val="24"/>
          <w:szCs w:val="24"/>
        </w:rPr>
        <w:fldChar w:fldCharType="separate"/>
      </w:r>
      <w:r w:rsidR="00993083" w:rsidRPr="00F31A70">
        <w:rPr>
          <w:rFonts w:ascii="Times New Roman" w:hAnsi="Times New Roman" w:cs="Times New Roman"/>
          <w:sz w:val="24"/>
        </w:rPr>
        <w:t>(2021)</w:t>
      </w:r>
      <w:r w:rsidR="00993083">
        <w:rPr>
          <w:rFonts w:ascii="Times New Roman" w:hAnsi="Times New Roman" w:cs="Times New Roman"/>
          <w:sz w:val="24"/>
          <w:szCs w:val="24"/>
        </w:rPr>
        <w:fldChar w:fldCharType="end"/>
      </w:r>
      <w:r w:rsidR="00993083">
        <w:rPr>
          <w:rFonts w:ascii="Times New Roman" w:hAnsi="Times New Roman" w:cs="Times New Roman"/>
          <w:sz w:val="24"/>
          <w:szCs w:val="24"/>
        </w:rPr>
        <w:t xml:space="preserve"> find that economic policy uncertainty has no statistically significant impact on the total spillover index for clean energy stocks, green bonds, crude oil., and fossil fuel energy stocks.</w:t>
      </w:r>
      <w:r w:rsidR="007826F0">
        <w:rPr>
          <w:rFonts w:ascii="Times New Roman" w:hAnsi="Times New Roman" w:cs="Times New Roman"/>
          <w:sz w:val="24"/>
          <w:szCs w:val="24"/>
        </w:rPr>
        <w:t xml:space="preserve"> Liu et al. </w:t>
      </w:r>
      <w:r w:rsidR="007826F0">
        <w:rPr>
          <w:rFonts w:ascii="Times New Roman" w:hAnsi="Times New Roman" w:cs="Times New Roman"/>
          <w:sz w:val="24"/>
          <w:szCs w:val="24"/>
        </w:rPr>
        <w:fldChar w:fldCharType="begin"/>
      </w:r>
      <w:r w:rsidR="007826F0">
        <w:rPr>
          <w:rFonts w:ascii="Times New Roman" w:hAnsi="Times New Roman" w:cs="Times New Roman"/>
          <w:sz w:val="24"/>
          <w:szCs w:val="24"/>
        </w:rPr>
        <w:instrText xml:space="preserve"> ADDIN ZOTERO_ITEM CSL_CITATION {"citationID":"6JPjza4K","properties":{"formattedCitation":"(2022)","plainCitation":"(2022)","noteIndex":0},"citationItems":[{"id":3650,"uris":["http://zotero.org/users/5823779/items/G5CZUA6F"],"itemData":{"id":3650,"type":"article-journal","abstract":"By employing time–frequency-domain frameworks, this study analyzes the spillover effects of news-based economic uncertainty caused by the pandemic on three renewable energy stock indices in the USA, Europe, and the world. The empirical results reveal that the total spillover from economic uncertainty to the three renewable energy stock returns was concentrated at a high frequency, whereas those to volatilities appeared at low frequencies. Utilizing a rolling-window method, we observed that the impact of uncertainty caused by COVID-19 on three renewable energy stock returns and volatilities is more significant than that resulting from the global financial crisis (GFC). During COVID-19, the majority of the spillover effects from economic uncertainty to returns and volatilities of the three indices focused on the long term.","container-title":"Empirical Economics","DOI":"10.1007/s00181-021-02087-3","ISSN":"1435-8921","issue":"4","journalAbbreviation":"Empir Econ","language":"en","page":"1495-1515","source":"Springer Link","title":"The impact of economic uncertainty caused by COVID-19 on renewable energy stocks","volume":"62","author":[{"family":"Liu","given":"Tiantian"},{"family":"Nakajima","given":"Tadahiro"},{"family":"Hamori","given":"Shigeyuki"}],"issued":{"date-parts":[["2022",4,1]]}},"suppress-author":true}],"schema":"https://github.com/citation-style-language/schema/raw/master/csl-citation.json"} </w:instrText>
      </w:r>
      <w:r w:rsidR="007826F0">
        <w:rPr>
          <w:rFonts w:ascii="Times New Roman" w:hAnsi="Times New Roman" w:cs="Times New Roman"/>
          <w:sz w:val="24"/>
          <w:szCs w:val="24"/>
        </w:rPr>
        <w:fldChar w:fldCharType="separate"/>
      </w:r>
      <w:r w:rsidR="007826F0" w:rsidRPr="00F31A70">
        <w:rPr>
          <w:rFonts w:ascii="Times New Roman" w:hAnsi="Times New Roman" w:cs="Times New Roman"/>
          <w:sz w:val="24"/>
        </w:rPr>
        <w:t>(2022)</w:t>
      </w:r>
      <w:r w:rsidR="007826F0">
        <w:rPr>
          <w:rFonts w:ascii="Times New Roman" w:hAnsi="Times New Roman" w:cs="Times New Roman"/>
          <w:sz w:val="24"/>
          <w:szCs w:val="24"/>
        </w:rPr>
        <w:fldChar w:fldCharType="end"/>
      </w:r>
      <w:r w:rsidR="007826F0">
        <w:rPr>
          <w:rFonts w:ascii="Times New Roman" w:hAnsi="Times New Roman" w:cs="Times New Roman"/>
          <w:sz w:val="24"/>
          <w:szCs w:val="24"/>
        </w:rPr>
        <w:t xml:space="preserve"> find that the impact of economic policy uncertainty on clean energy stocks in the US, Europe, and the world tends to be concentrated at a high frequency. Uncertainty caused by COVID-19 is more significant than that caused by the global financial crisis.</w:t>
      </w:r>
    </w:p>
    <w:p w14:paraId="3F836704" w14:textId="771010F9" w:rsidR="00296B68" w:rsidRDefault="007C776C" w:rsidP="00C40369">
      <w:pPr>
        <w:spacing w:after="0" w:line="480" w:lineRule="auto"/>
        <w:rPr>
          <w:rFonts w:ascii="Times New Roman" w:hAnsi="Times New Roman" w:cs="Times New Roman"/>
          <w:sz w:val="24"/>
          <w:szCs w:val="24"/>
          <w:lang w:bidi="en-US"/>
        </w:rPr>
      </w:pPr>
      <w:r>
        <w:rPr>
          <w:rFonts w:ascii="Times New Roman" w:hAnsi="Times New Roman" w:cs="Times New Roman"/>
          <w:sz w:val="24"/>
          <w:szCs w:val="24"/>
          <w:lang w:bidi="en-US"/>
        </w:rPr>
        <w:tab/>
      </w:r>
      <w:r w:rsidR="002F440F">
        <w:rPr>
          <w:rFonts w:ascii="Times New Roman" w:hAnsi="Times New Roman" w:cs="Times New Roman"/>
          <w:sz w:val="24"/>
          <w:szCs w:val="24"/>
          <w:lang w:bidi="en-US"/>
        </w:rPr>
        <w:t xml:space="preserve">In summary, oil price volatility has a larger impact on clean energy stock prices than does stock market volatility. </w:t>
      </w:r>
      <w:r w:rsidR="00C40369" w:rsidRPr="00AD3440">
        <w:rPr>
          <w:rFonts w:ascii="Times New Roman" w:hAnsi="Times New Roman" w:cs="Times New Roman"/>
          <w:sz w:val="24"/>
          <w:szCs w:val="24"/>
          <w:lang w:bidi="en-US"/>
        </w:rPr>
        <w:t xml:space="preserve">The </w:t>
      </w:r>
      <w:r w:rsidR="002F440F">
        <w:rPr>
          <w:rFonts w:ascii="Times New Roman" w:hAnsi="Times New Roman" w:cs="Times New Roman"/>
          <w:sz w:val="24"/>
          <w:szCs w:val="24"/>
          <w:lang w:bidi="en-US"/>
        </w:rPr>
        <w:t xml:space="preserve">impact of EPU on clean energy stock prices is mixed. There is, however, little known about how useful market uncertainty and economic policy uncertainty are for forecasting clean energy stock prices. This is the gap in the literature that this paper addresses. </w:t>
      </w:r>
    </w:p>
    <w:p w14:paraId="4F7BAE8D" w14:textId="77777777" w:rsidR="00733B0E" w:rsidRDefault="00733B0E" w:rsidP="00733B0E">
      <w:pPr>
        <w:spacing w:after="0" w:line="480" w:lineRule="auto"/>
        <w:rPr>
          <w:rFonts w:ascii="Times New Roman" w:hAnsi="Times New Roman" w:cs="Times New Roman"/>
          <w:sz w:val="24"/>
          <w:szCs w:val="24"/>
        </w:rPr>
      </w:pPr>
    </w:p>
    <w:p w14:paraId="59D543AA" w14:textId="643A5C1F" w:rsidR="00A31F3E" w:rsidRPr="00B10156" w:rsidRDefault="005164AC" w:rsidP="00670A88">
      <w:pPr>
        <w:spacing w:after="0" w:line="480" w:lineRule="auto"/>
        <w:rPr>
          <w:rFonts w:ascii="Times New Roman" w:hAnsi="Times New Roman" w:cs="Times New Roman"/>
          <w:b/>
          <w:sz w:val="24"/>
          <w:szCs w:val="24"/>
        </w:rPr>
      </w:pPr>
      <w:r>
        <w:rPr>
          <w:rFonts w:ascii="Times New Roman" w:hAnsi="Times New Roman" w:cs="Times New Roman"/>
          <w:b/>
          <w:sz w:val="24"/>
          <w:szCs w:val="24"/>
        </w:rPr>
        <w:t>3</w:t>
      </w:r>
      <w:r w:rsidR="00B10156" w:rsidRPr="00B10156">
        <w:rPr>
          <w:rFonts w:ascii="Times New Roman" w:hAnsi="Times New Roman" w:cs="Times New Roman"/>
          <w:b/>
          <w:sz w:val="24"/>
          <w:szCs w:val="24"/>
        </w:rPr>
        <w:t xml:space="preserve">. </w:t>
      </w:r>
      <w:r w:rsidR="00A31F3E" w:rsidRPr="00B10156">
        <w:rPr>
          <w:rFonts w:ascii="Times New Roman" w:hAnsi="Times New Roman" w:cs="Times New Roman"/>
          <w:b/>
          <w:sz w:val="24"/>
          <w:szCs w:val="24"/>
        </w:rPr>
        <w:t>Methods</w:t>
      </w:r>
    </w:p>
    <w:p w14:paraId="49098C8A" w14:textId="3587F419" w:rsidR="00993AA4" w:rsidRPr="00993AA4" w:rsidRDefault="00993AA4" w:rsidP="00FE6626">
      <w:pPr>
        <w:spacing w:after="0" w:line="480" w:lineRule="auto"/>
        <w:ind w:firstLine="720"/>
        <w:rPr>
          <w:rFonts w:ascii="Times New Roman" w:hAnsi="Times New Roman" w:cs="Times New Roman"/>
          <w:i/>
          <w:sz w:val="24"/>
          <w:szCs w:val="24"/>
          <w:lang w:bidi="en-US"/>
        </w:rPr>
      </w:pPr>
      <w:r>
        <w:rPr>
          <w:rFonts w:ascii="Times New Roman" w:hAnsi="Times New Roman" w:cs="Times New Roman"/>
          <w:i/>
          <w:sz w:val="24"/>
          <w:szCs w:val="24"/>
          <w:lang w:bidi="en-US"/>
        </w:rPr>
        <w:t>3</w:t>
      </w:r>
      <w:r w:rsidRPr="006E2AFE">
        <w:rPr>
          <w:rFonts w:ascii="Times New Roman" w:hAnsi="Times New Roman" w:cs="Times New Roman"/>
          <w:i/>
          <w:sz w:val="24"/>
          <w:szCs w:val="24"/>
          <w:lang w:bidi="en-US"/>
        </w:rPr>
        <w:t>.</w:t>
      </w:r>
      <w:r>
        <w:rPr>
          <w:rFonts w:ascii="Times New Roman" w:hAnsi="Times New Roman" w:cs="Times New Roman"/>
          <w:i/>
          <w:sz w:val="24"/>
          <w:szCs w:val="24"/>
          <w:lang w:bidi="en-US"/>
        </w:rPr>
        <w:t>1</w:t>
      </w:r>
      <w:r w:rsidRPr="006E2AFE">
        <w:rPr>
          <w:rFonts w:ascii="Times New Roman" w:hAnsi="Times New Roman" w:cs="Times New Roman"/>
          <w:i/>
          <w:sz w:val="24"/>
          <w:szCs w:val="24"/>
          <w:lang w:bidi="en-US"/>
        </w:rPr>
        <w:t xml:space="preserve">. </w:t>
      </w:r>
      <w:r>
        <w:rPr>
          <w:rFonts w:ascii="Times New Roman" w:hAnsi="Times New Roman" w:cs="Times New Roman"/>
          <w:i/>
          <w:sz w:val="24"/>
          <w:szCs w:val="24"/>
          <w:lang w:bidi="en-US"/>
        </w:rPr>
        <w:t>Machine learning methods</w:t>
      </w:r>
    </w:p>
    <w:p w14:paraId="1DBF8AD4" w14:textId="11C0CA79" w:rsidR="001D2527" w:rsidRDefault="00973321" w:rsidP="00FE66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D950BC">
        <w:rPr>
          <w:rFonts w:ascii="Times New Roman" w:hAnsi="Times New Roman" w:cs="Times New Roman"/>
          <w:sz w:val="24"/>
          <w:szCs w:val="24"/>
        </w:rPr>
        <w:t>h</w:t>
      </w:r>
      <w:r w:rsidR="001D2527">
        <w:rPr>
          <w:rFonts w:ascii="Times New Roman" w:hAnsi="Times New Roman" w:cs="Times New Roman"/>
          <w:sz w:val="24"/>
          <w:szCs w:val="24"/>
        </w:rPr>
        <w:t xml:space="preserve">is section provides a brief </w:t>
      </w:r>
      <w:r w:rsidR="00BE56EF">
        <w:rPr>
          <w:rFonts w:ascii="Times New Roman" w:hAnsi="Times New Roman" w:cs="Times New Roman"/>
          <w:sz w:val="24"/>
          <w:szCs w:val="24"/>
        </w:rPr>
        <w:t xml:space="preserve">non-technical </w:t>
      </w:r>
      <w:r w:rsidR="001D2527">
        <w:rPr>
          <w:rFonts w:ascii="Times New Roman" w:hAnsi="Times New Roman" w:cs="Times New Roman"/>
          <w:sz w:val="24"/>
          <w:szCs w:val="24"/>
        </w:rPr>
        <w:t xml:space="preserve">description of the machine learning methods (random forests, boosting, extremely randomized trees, SVM, Lasso, and Naïve Bayes) used to predict clean energy stock price direction. </w:t>
      </w:r>
      <w:r w:rsidR="00D950BC">
        <w:rPr>
          <w:rFonts w:ascii="Times New Roman" w:hAnsi="Times New Roman" w:cs="Times New Roman"/>
          <w:sz w:val="24"/>
          <w:szCs w:val="24"/>
        </w:rPr>
        <w:t xml:space="preserve"> </w:t>
      </w:r>
      <w:r w:rsidR="001D2527">
        <w:rPr>
          <w:rFonts w:ascii="Times New Roman" w:hAnsi="Times New Roman" w:cs="Times New Roman"/>
          <w:sz w:val="24"/>
          <w:szCs w:val="24"/>
        </w:rPr>
        <w:t xml:space="preserve">James et al. </w:t>
      </w:r>
      <w:r w:rsidR="001D2527">
        <w:rPr>
          <w:rFonts w:ascii="Times New Roman" w:hAnsi="Times New Roman" w:cs="Times New Roman"/>
          <w:sz w:val="24"/>
          <w:szCs w:val="24"/>
        </w:rPr>
        <w:fldChar w:fldCharType="begin"/>
      </w:r>
      <w:r w:rsidR="001D2527">
        <w:rPr>
          <w:rFonts w:ascii="Times New Roman" w:hAnsi="Times New Roman" w:cs="Times New Roman"/>
          <w:sz w:val="24"/>
          <w:szCs w:val="24"/>
        </w:rPr>
        <w:instrText xml:space="preserve"> ADDIN ZOTERO_ITEM CSL_CITATION {"citationID":"RyCGJlJA","properties":{"formattedCitation":"(2013)","plainCitation":"(2013)","noteIndex":0},"citationItems":[{"id":1681,"uris":["http://zotero.org/users/5823779/items/UVPPFRTW"],"itemData":{"id":1681,"type":"book","abstract":"An Introduction to Statistical Learning provides an accessible overview of the field of statistical learning, an essential toolset for making sense of the vast and complex data sets that have emerged in fields ranging from biology to finance to marketing to astrophysics in the past twenty years. This book presents some of the most important modeling and prediction techniques, along with relevant applications. Topics include linear regression, classification, resampling methods, shrinkage approaches, tree-based methods, support vector machines, clustering, and more. Color graphics and real-world examples are used to illustrate the methods presented. Since the goal of this textbook is to facilitate the use of these statistical learning techniques by practitioners in science, industry, and other fields, each chapter contains a tutorial on implementing the analyses and methods presented in R, an extremely popular open source statistical software platform.Two of the authors co-wrote The Elements of Statistical Learning (Hastie, Tibshirani and Friedman, 2nd edition 2009), a popular reference book for statistics and machine learning researchers. An Introduction to Statistical Learning covers many of the same topics, but at a level accessible to a much broader audience. This book is targeted at statisticians and non-statisticians alike who wish to use cutting-edge statistical learning techniques to analyze their data. The text assumes only a previous course in linear regression and no knowledge of matrix algebra.","collection-title":"Springer Texts in Statistics","event-place":"New York","ISBN":"978-1-4614-7137-0","language":"en","note":"DOI: 10.1007/978-1-4614-7138-7","publisher":"Springer-Verlag","publisher-place":"New York","source":"www.springer.com","title":"An Introduction to Statistical Learning: with Applications in R","title-short":"An Introduction to Statistical Learning","URL":"https://www.springer.com/gp/book/9781461471370","author":[{"family":"James","given":"Gareth"},{"family":"Witten","given":"Daniela"},{"family":"Hastie","given":"Trevor"},{"family":"Tibshirani","given":"Robert"}],"accessed":{"date-parts":[["2020",7,5]]},"issued":{"date-parts":[["2013"]]}},"suppress-author":true}],"schema":"https://github.com/citation-style-language/schema/raw/master/csl-citation.json"} </w:instrText>
      </w:r>
      <w:r w:rsidR="001D2527">
        <w:rPr>
          <w:rFonts w:ascii="Times New Roman" w:hAnsi="Times New Roman" w:cs="Times New Roman"/>
          <w:sz w:val="24"/>
          <w:szCs w:val="24"/>
        </w:rPr>
        <w:fldChar w:fldCharType="separate"/>
      </w:r>
      <w:r w:rsidR="00F31A70" w:rsidRPr="00F31A70">
        <w:rPr>
          <w:rFonts w:ascii="Times New Roman" w:hAnsi="Times New Roman" w:cs="Times New Roman"/>
          <w:sz w:val="24"/>
        </w:rPr>
        <w:t>(2013)</w:t>
      </w:r>
      <w:r w:rsidR="001D2527">
        <w:rPr>
          <w:rFonts w:ascii="Times New Roman" w:hAnsi="Times New Roman" w:cs="Times New Roman"/>
          <w:sz w:val="24"/>
          <w:szCs w:val="24"/>
        </w:rPr>
        <w:fldChar w:fldCharType="end"/>
      </w:r>
      <w:r w:rsidR="001D2527">
        <w:rPr>
          <w:rFonts w:ascii="Times New Roman" w:hAnsi="Times New Roman" w:cs="Times New Roman"/>
          <w:sz w:val="24"/>
          <w:szCs w:val="24"/>
        </w:rPr>
        <w:t xml:space="preserve"> provide a </w:t>
      </w:r>
      <w:r w:rsidR="003E6F27">
        <w:rPr>
          <w:rFonts w:ascii="Times New Roman" w:hAnsi="Times New Roman" w:cs="Times New Roman"/>
          <w:sz w:val="24"/>
          <w:szCs w:val="24"/>
        </w:rPr>
        <w:t>very informative and</w:t>
      </w:r>
      <w:r w:rsidR="001D2527">
        <w:rPr>
          <w:rFonts w:ascii="Times New Roman" w:hAnsi="Times New Roman" w:cs="Times New Roman"/>
          <w:sz w:val="24"/>
          <w:szCs w:val="24"/>
        </w:rPr>
        <w:t xml:space="preserve"> </w:t>
      </w:r>
      <w:r w:rsidR="001D2527">
        <w:rPr>
          <w:rFonts w:ascii="Times New Roman" w:hAnsi="Times New Roman" w:cs="Times New Roman"/>
          <w:sz w:val="24"/>
          <w:szCs w:val="24"/>
        </w:rPr>
        <w:lastRenderedPageBreak/>
        <w:t xml:space="preserve">easy to read overview of these methods while a more technical description </w:t>
      </w:r>
      <w:r w:rsidR="00AE7FEF">
        <w:rPr>
          <w:rFonts w:ascii="Times New Roman" w:hAnsi="Times New Roman" w:cs="Times New Roman"/>
          <w:sz w:val="24"/>
          <w:szCs w:val="24"/>
        </w:rPr>
        <w:t xml:space="preserve">is provided by </w:t>
      </w:r>
      <w:r w:rsidR="001D2527">
        <w:rPr>
          <w:rFonts w:ascii="Times New Roman" w:hAnsi="Times New Roman" w:cs="Times New Roman"/>
          <w:sz w:val="24"/>
          <w:szCs w:val="24"/>
        </w:rPr>
        <w:t xml:space="preserve">Hastie et al. </w:t>
      </w:r>
      <w:r w:rsidR="001D2527">
        <w:rPr>
          <w:rFonts w:ascii="Times New Roman" w:hAnsi="Times New Roman" w:cs="Times New Roman"/>
          <w:sz w:val="24"/>
          <w:szCs w:val="24"/>
        </w:rPr>
        <w:fldChar w:fldCharType="begin"/>
      </w:r>
      <w:r w:rsidR="001D2527">
        <w:rPr>
          <w:rFonts w:ascii="Times New Roman" w:hAnsi="Times New Roman" w:cs="Times New Roman"/>
          <w:sz w:val="24"/>
          <w:szCs w:val="24"/>
        </w:rPr>
        <w:instrText xml:space="preserve"> ADDIN ZOTERO_ITEM CSL_CITATION {"citationID":"enDjBMgC","properties":{"formattedCitation":"(2009)","plainCitation":"(2009)","noteIndex":0},"citationItems":[{"id":2804,"uris":["http://zotero.org/users/5823779/items/L4VRCHHX"],"itemData":{"id":2804,"type":"book","abstract":"During the past decade there has been an explosion in computation and information technology. With it have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is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This major new edition features many topics not covered in the original, including graphical models, random forests, ensemble methods, least angle regression and path algorithms for the lasso, non-negative matrix factorization, and spectral clustering. There is also a chapter on methods for ``wide'' data (p bigger than n), including multiple testing and false discovery rates. Trevor Hastie, Robert Tibshirani, and Jerome Friedman are professors of statistics at Stanford University. They are prominent researchers in this area: Hastie and Tibshirani developed generalized additive models and wrote a popular book of that title. Hastie co-developed much of the statistical modeling software and environment in R/S-PLUS and invented principal curves and surfaces. Tibshirani proposed the lasso and is co-author of the very successful An Introduction to the Bootstrap. Friedman is the co-inventor of many data-mining tools including CART, MARS, projection pursuit and gradient boosting.","collection-title":"Springer Series in Statistics","edition":"2","event-place":"New York","ISBN":"978-0-387-84857-0","language":"en","note":"DOI: 10.1007/978-0-387-84858-7","publisher":"Springer-Verlag","publisher-place":"New York","source":"www.springer.com","title":"The Elements of Statistical Learning: Data Mining, Inference, and Prediction, Second Edition","title-short":"The Elements of Statistical Learning","URL":"https://www.springer.com/gp/book/9780387848570","author":[{"family":"Hastie","given":"Trevor"},{"family":"Tibshirani","given":"Robert"},{"family":"Friedman","given":"Jerome"}],"accessed":{"date-parts":[["2021",3,8]]},"issued":{"date-parts":[["2009"]]}},"suppress-author":true}],"schema":"https://github.com/citation-style-language/schema/raw/master/csl-citation.json"} </w:instrText>
      </w:r>
      <w:r w:rsidR="001D2527">
        <w:rPr>
          <w:rFonts w:ascii="Times New Roman" w:hAnsi="Times New Roman" w:cs="Times New Roman"/>
          <w:sz w:val="24"/>
          <w:szCs w:val="24"/>
        </w:rPr>
        <w:fldChar w:fldCharType="separate"/>
      </w:r>
      <w:r w:rsidR="00F31A70" w:rsidRPr="00F31A70">
        <w:rPr>
          <w:rFonts w:ascii="Times New Roman" w:hAnsi="Times New Roman" w:cs="Times New Roman"/>
          <w:sz w:val="24"/>
        </w:rPr>
        <w:t>(2009)</w:t>
      </w:r>
      <w:r w:rsidR="001D2527">
        <w:rPr>
          <w:rFonts w:ascii="Times New Roman" w:hAnsi="Times New Roman" w:cs="Times New Roman"/>
          <w:sz w:val="24"/>
          <w:szCs w:val="24"/>
        </w:rPr>
        <w:fldChar w:fldCharType="end"/>
      </w:r>
      <w:r w:rsidR="001D2527">
        <w:rPr>
          <w:rFonts w:ascii="Times New Roman" w:hAnsi="Times New Roman" w:cs="Times New Roman"/>
          <w:sz w:val="24"/>
          <w:szCs w:val="24"/>
        </w:rPr>
        <w:t>.</w:t>
      </w:r>
    </w:p>
    <w:p w14:paraId="4BE34E3B" w14:textId="058DFB57" w:rsidR="00382746" w:rsidRDefault="00613C60" w:rsidP="00FE6626">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rPr>
        <w:t>R</w:t>
      </w:r>
      <w:r w:rsidR="001D2527">
        <w:rPr>
          <w:rFonts w:ascii="Times New Roman" w:hAnsi="Times New Roman" w:cs="Times New Roman"/>
          <w:sz w:val="24"/>
          <w:szCs w:val="24"/>
        </w:rPr>
        <w:t>andom forests</w:t>
      </w:r>
      <w:r>
        <w:rPr>
          <w:rFonts w:ascii="Times New Roman" w:hAnsi="Times New Roman" w:cs="Times New Roman"/>
          <w:sz w:val="24"/>
          <w:szCs w:val="24"/>
        </w:rPr>
        <w:t xml:space="preserve"> </w:t>
      </w:r>
      <w:r w:rsidR="001D2527">
        <w:rPr>
          <w:rFonts w:ascii="Times New Roman" w:hAnsi="Times New Roman" w:cs="Times New Roman"/>
          <w:sz w:val="24"/>
          <w:szCs w:val="24"/>
        </w:rPr>
        <w:t xml:space="preserve">and extremely randomized trees are based on </w:t>
      </w:r>
      <w:r>
        <w:rPr>
          <w:rFonts w:ascii="Times New Roman" w:hAnsi="Times New Roman" w:cs="Times New Roman"/>
          <w:sz w:val="24"/>
          <w:szCs w:val="24"/>
        </w:rPr>
        <w:t xml:space="preserve">ensembles of </w:t>
      </w:r>
      <w:r w:rsidR="001D2527">
        <w:rPr>
          <w:rFonts w:ascii="Times New Roman" w:hAnsi="Times New Roman" w:cs="Times New Roman"/>
          <w:sz w:val="24"/>
          <w:szCs w:val="24"/>
        </w:rPr>
        <w:t>decision tree</w:t>
      </w:r>
      <w:r w:rsidR="002752BD">
        <w:rPr>
          <w:rFonts w:ascii="Times New Roman" w:hAnsi="Times New Roman" w:cs="Times New Roman"/>
          <w:sz w:val="24"/>
          <w:szCs w:val="24"/>
        </w:rPr>
        <w:t>s</w:t>
      </w:r>
      <w:r w:rsidR="001D2527">
        <w:rPr>
          <w:rFonts w:ascii="Times New Roman" w:hAnsi="Times New Roman" w:cs="Times New Roman"/>
          <w:sz w:val="24"/>
          <w:szCs w:val="24"/>
        </w:rPr>
        <w:t xml:space="preserve">. </w:t>
      </w:r>
      <w:r w:rsidR="0055797F">
        <w:rPr>
          <w:rFonts w:ascii="Times New Roman" w:hAnsi="Times New Roman" w:cs="Times New Roman"/>
          <w:sz w:val="24"/>
          <w:szCs w:val="24"/>
        </w:rPr>
        <w:t>Decision trees can be trained to have high prediction accuracy on a training data set</w:t>
      </w:r>
      <w:r w:rsidR="00382746">
        <w:rPr>
          <w:rFonts w:ascii="Times New Roman" w:hAnsi="Times New Roman" w:cs="Times New Roman"/>
          <w:sz w:val="24"/>
          <w:szCs w:val="24"/>
        </w:rPr>
        <w:t>,</w:t>
      </w:r>
      <w:r w:rsidR="0055797F">
        <w:rPr>
          <w:rFonts w:ascii="Times New Roman" w:hAnsi="Times New Roman" w:cs="Times New Roman"/>
          <w:sz w:val="24"/>
          <w:szCs w:val="24"/>
        </w:rPr>
        <w:t xml:space="preserve"> but decision trees are susceptible to high variance. </w:t>
      </w:r>
      <w:r w:rsidR="00382746">
        <w:rPr>
          <w:rFonts w:ascii="Times New Roman" w:hAnsi="Times New Roman" w:cs="Times New Roman"/>
          <w:sz w:val="24"/>
          <w:szCs w:val="24"/>
        </w:rPr>
        <w:t>High variance</w:t>
      </w:r>
      <w:r w:rsidR="0055797F">
        <w:rPr>
          <w:rFonts w:ascii="Times New Roman" w:hAnsi="Times New Roman" w:cs="Times New Roman"/>
          <w:sz w:val="24"/>
          <w:szCs w:val="24"/>
        </w:rPr>
        <w:t xml:space="preserve"> means that small changes in the data set can produce different predictions. </w:t>
      </w:r>
      <w:r w:rsidR="002752BD">
        <w:rPr>
          <w:rFonts w:ascii="Times New Roman" w:hAnsi="Times New Roman" w:cs="Times New Roman"/>
          <w:sz w:val="24"/>
          <w:szCs w:val="24"/>
        </w:rPr>
        <w:t>One</w:t>
      </w:r>
      <w:r w:rsidR="0055797F">
        <w:rPr>
          <w:rFonts w:ascii="Times New Roman" w:hAnsi="Times New Roman" w:cs="Times New Roman"/>
          <w:sz w:val="24"/>
          <w:szCs w:val="24"/>
        </w:rPr>
        <w:t xml:space="preserve"> way to address the high variance problem</w:t>
      </w:r>
      <w:r w:rsidR="002752BD">
        <w:rPr>
          <w:rFonts w:ascii="Times New Roman" w:hAnsi="Times New Roman" w:cs="Times New Roman"/>
          <w:sz w:val="24"/>
          <w:szCs w:val="24"/>
        </w:rPr>
        <w:t xml:space="preserve"> is to use ensemble methods </w:t>
      </w:r>
      <w:r>
        <w:rPr>
          <w:rFonts w:ascii="Times New Roman" w:hAnsi="Times New Roman" w:cs="Times New Roman"/>
          <w:sz w:val="24"/>
          <w:szCs w:val="24"/>
        </w:rPr>
        <w:t xml:space="preserve">to create </w:t>
      </w:r>
      <w:r w:rsidR="007D601D">
        <w:rPr>
          <w:rFonts w:ascii="Times New Roman" w:hAnsi="Times New Roman" w:cs="Times New Roman"/>
          <w:sz w:val="24"/>
          <w:szCs w:val="24"/>
        </w:rPr>
        <w:t xml:space="preserve">many </w:t>
      </w:r>
      <w:r>
        <w:rPr>
          <w:rFonts w:ascii="Times New Roman" w:hAnsi="Times New Roman" w:cs="Times New Roman"/>
          <w:sz w:val="24"/>
          <w:szCs w:val="24"/>
        </w:rPr>
        <w:t>de-correlated trees</w:t>
      </w:r>
      <w:r w:rsidR="007D601D">
        <w:rPr>
          <w:rFonts w:ascii="Times New Roman" w:hAnsi="Times New Roman" w:cs="Times New Roman"/>
          <w:sz w:val="24"/>
          <w:szCs w:val="24"/>
        </w:rPr>
        <w:t xml:space="preserve"> and then average the predictions across the trees</w:t>
      </w:r>
      <w:r w:rsidR="0055797F">
        <w:rPr>
          <w:rFonts w:ascii="Times New Roman" w:hAnsi="Times New Roman" w:cs="Times New Roman"/>
          <w:sz w:val="24"/>
          <w:szCs w:val="24"/>
        </w:rPr>
        <w:t xml:space="preserve">. </w:t>
      </w:r>
      <w:r w:rsidR="0055797F">
        <w:rPr>
          <w:rFonts w:ascii="Times New Roman" w:hAnsi="Times New Roman" w:cs="Times New Roman"/>
          <w:sz w:val="24"/>
          <w:szCs w:val="24"/>
          <w:lang w:bidi="en-US"/>
        </w:rPr>
        <w:t xml:space="preserve">Random forests </w:t>
      </w:r>
      <w:r w:rsidR="002752BD">
        <w:rPr>
          <w:rFonts w:ascii="Times New Roman" w:hAnsi="Times New Roman" w:cs="Times New Roman"/>
          <w:sz w:val="24"/>
          <w:szCs w:val="24"/>
          <w:lang w:bidi="en-US"/>
        </w:rPr>
        <w:t xml:space="preserve">are </w:t>
      </w:r>
      <w:r w:rsidR="009D12A2">
        <w:rPr>
          <w:rFonts w:ascii="Times New Roman" w:hAnsi="Times New Roman" w:cs="Times New Roman"/>
          <w:sz w:val="24"/>
          <w:szCs w:val="24"/>
          <w:lang w:bidi="en-US"/>
        </w:rPr>
        <w:t>collection</w:t>
      </w:r>
      <w:r w:rsidR="002752BD">
        <w:rPr>
          <w:rFonts w:ascii="Times New Roman" w:hAnsi="Times New Roman" w:cs="Times New Roman"/>
          <w:sz w:val="24"/>
          <w:szCs w:val="24"/>
          <w:lang w:bidi="en-US"/>
        </w:rPr>
        <w:t>s of decision trees</w:t>
      </w:r>
      <w:r w:rsidR="007D601D">
        <w:rPr>
          <w:rFonts w:ascii="Times New Roman" w:hAnsi="Times New Roman" w:cs="Times New Roman"/>
          <w:sz w:val="24"/>
          <w:szCs w:val="24"/>
          <w:lang w:bidi="en-US"/>
        </w:rPr>
        <w:t xml:space="preserve"> created using bootstrapping</w:t>
      </w:r>
      <w:r w:rsidR="0055797F" w:rsidRPr="006E2AFE">
        <w:rPr>
          <w:rFonts w:ascii="Times New Roman" w:hAnsi="Times New Roman" w:cs="Times New Roman"/>
          <w:sz w:val="24"/>
          <w:szCs w:val="24"/>
          <w:lang w:bidi="en-US"/>
        </w:rPr>
        <w:t xml:space="preserve"> </w:t>
      </w:r>
      <w:r w:rsidR="0055797F" w:rsidRPr="006E2AFE">
        <w:rPr>
          <w:rFonts w:ascii="Times New Roman" w:hAnsi="Times New Roman" w:cs="Times New Roman"/>
          <w:sz w:val="24"/>
          <w:szCs w:val="24"/>
          <w:lang w:bidi="en-US"/>
        </w:rPr>
        <w:fldChar w:fldCharType="begin"/>
      </w:r>
      <w:r w:rsidR="0055797F">
        <w:rPr>
          <w:rFonts w:ascii="Times New Roman" w:hAnsi="Times New Roman" w:cs="Times New Roman"/>
          <w:sz w:val="24"/>
          <w:szCs w:val="24"/>
          <w:lang w:bidi="en-US"/>
        </w:rPr>
        <w:instrText xml:space="preserve"> ADDIN ZOTERO_ITEM CSL_CITATION {"citationID":"wr1wxwlv","properties":{"formattedCitation":"(Breiman, 2001)","plainCitation":"(Breiman, 2001)","noteIndex":0},"citationItems":[{"id":2569,"uris":["http://zotero.org/users/5823779/items/5SGFE3AJ"],"itemData":{"id":2569,"type":"article-journal","abstract":"Random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sidR="0055797F" w:rsidRPr="006E2AFE">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(Breiman, 2001)</w:t>
      </w:r>
      <w:r w:rsidR="0055797F" w:rsidRPr="006E2AFE">
        <w:rPr>
          <w:rFonts w:ascii="Times New Roman" w:hAnsi="Times New Roman" w:cs="Times New Roman"/>
          <w:sz w:val="24"/>
          <w:szCs w:val="24"/>
        </w:rPr>
        <w:fldChar w:fldCharType="end"/>
      </w:r>
      <w:r w:rsidR="0055797F" w:rsidRPr="006E2AFE">
        <w:rPr>
          <w:rFonts w:ascii="Times New Roman" w:hAnsi="Times New Roman" w:cs="Times New Roman"/>
          <w:sz w:val="24"/>
          <w:szCs w:val="24"/>
          <w:lang w:bidi="en-US"/>
        </w:rPr>
        <w:t xml:space="preserve">. </w:t>
      </w:r>
      <w:r w:rsidR="002752BD">
        <w:rPr>
          <w:rFonts w:ascii="Times New Roman" w:hAnsi="Times New Roman" w:cs="Times New Roman"/>
          <w:sz w:val="24"/>
          <w:szCs w:val="24"/>
          <w:lang w:bidi="en-US"/>
        </w:rPr>
        <w:t>B</w:t>
      </w:r>
      <w:r w:rsidR="0055797F" w:rsidRPr="006E2AFE">
        <w:rPr>
          <w:rFonts w:ascii="Times New Roman" w:hAnsi="Times New Roman" w:cs="Times New Roman"/>
          <w:sz w:val="24"/>
          <w:szCs w:val="24"/>
          <w:lang w:bidi="en-US"/>
        </w:rPr>
        <w:t>ootstrapp</w:t>
      </w:r>
      <w:r w:rsidR="002752BD">
        <w:rPr>
          <w:rFonts w:ascii="Times New Roman" w:hAnsi="Times New Roman" w:cs="Times New Roman"/>
          <w:sz w:val="24"/>
          <w:szCs w:val="24"/>
          <w:lang w:bidi="en-US"/>
        </w:rPr>
        <w:t>ing is used to create many</w:t>
      </w:r>
      <w:r w:rsidR="0055797F" w:rsidRPr="006E2AFE">
        <w:rPr>
          <w:rFonts w:ascii="Times New Roman" w:hAnsi="Times New Roman" w:cs="Times New Roman"/>
          <w:sz w:val="24"/>
          <w:szCs w:val="24"/>
          <w:lang w:bidi="en-US"/>
        </w:rPr>
        <w:t xml:space="preserve"> training samples</w:t>
      </w:r>
      <w:r w:rsidR="002752BD">
        <w:rPr>
          <w:rFonts w:ascii="Times New Roman" w:hAnsi="Times New Roman" w:cs="Times New Roman"/>
          <w:sz w:val="24"/>
          <w:szCs w:val="24"/>
          <w:lang w:bidi="en-US"/>
        </w:rPr>
        <w:t xml:space="preserve"> and a decision tree is fit to each sample</w:t>
      </w:r>
      <w:r w:rsidR="0055797F" w:rsidRPr="006E2AFE">
        <w:rPr>
          <w:rFonts w:ascii="Times New Roman" w:hAnsi="Times New Roman" w:cs="Times New Roman"/>
          <w:sz w:val="24"/>
          <w:szCs w:val="24"/>
          <w:lang w:bidi="en-US"/>
        </w:rPr>
        <w:t xml:space="preserve">. Each time a split in a tree occurs a random sample of predictors is chosen from the full set of predictors. </w:t>
      </w:r>
      <w:r w:rsidR="00881BAC">
        <w:rPr>
          <w:rFonts w:ascii="Times New Roman" w:hAnsi="Times New Roman" w:cs="Times New Roman"/>
          <w:sz w:val="24"/>
          <w:szCs w:val="24"/>
          <w:lang w:bidi="en-US"/>
        </w:rPr>
        <w:t>Th</w:t>
      </w:r>
      <w:r w:rsidR="00AE7FEF">
        <w:rPr>
          <w:rFonts w:ascii="Times New Roman" w:hAnsi="Times New Roman" w:cs="Times New Roman"/>
          <w:sz w:val="24"/>
          <w:szCs w:val="24"/>
          <w:lang w:bidi="en-US"/>
        </w:rPr>
        <w:t>e random choice of features</w:t>
      </w:r>
      <w:r w:rsidR="00881BAC">
        <w:rPr>
          <w:rFonts w:ascii="Times New Roman" w:hAnsi="Times New Roman" w:cs="Times New Roman"/>
          <w:sz w:val="24"/>
          <w:szCs w:val="24"/>
          <w:lang w:bidi="en-US"/>
        </w:rPr>
        <w:t xml:space="preserve"> helps to reduce the correlation between the trees. </w:t>
      </w:r>
      <w:r w:rsidR="0055797F" w:rsidRPr="006E2AFE">
        <w:rPr>
          <w:rFonts w:ascii="Times New Roman" w:hAnsi="Times New Roman" w:cs="Times New Roman"/>
          <w:sz w:val="24"/>
          <w:szCs w:val="24"/>
          <w:lang w:bidi="en-US"/>
        </w:rPr>
        <w:t xml:space="preserve">The number of predictors chosen at random is calculated as the floor of the square root of the total number of predictors </w:t>
      </w:r>
      <w:r w:rsidR="0055797F" w:rsidRPr="006E2AFE">
        <w:rPr>
          <w:rFonts w:ascii="Times New Roman" w:hAnsi="Times New Roman" w:cs="Times New Roman"/>
          <w:sz w:val="24"/>
          <w:szCs w:val="24"/>
          <w:lang w:bidi="en-US"/>
        </w:rPr>
        <w:fldChar w:fldCharType="begin"/>
      </w:r>
      <w:r w:rsidR="0055797F">
        <w:rPr>
          <w:rFonts w:ascii="Times New Roman" w:hAnsi="Times New Roman" w:cs="Times New Roman"/>
          <w:sz w:val="24"/>
          <w:szCs w:val="24"/>
          <w:lang w:bidi="en-US"/>
        </w:rPr>
        <w:instrText xml:space="preserve"> ADDIN ZOTERO_ITEM CSL_CITATION {"citationID":"myMsDfFp","properties":{"formattedCitation":"(James et al., 2013)","plainCitation":"(James et al., 2013)","noteIndex":0},"citationItems":[{"id":1681,"uris":["http://zotero.org/users/5823779/items/UVPPFRTW"],"itemData":{"id":1681,"type":"book","abstract":"An Introduction to Statistical Learning provides an accessible overview of the field of statistical learning, an essential toolset for making sense of the vast and complex data sets that have emerged in fields ranging from biology to finance to marketing to astrophysics in the past twenty years. This book presents some of the most important modeling and prediction techniques, along with relevant applications. Topics include linear regression, classification, resampling methods, shrinkage approaches, tree-based methods, support vector machines, clustering, and more. Color graphics and real-world examples are used to illustrate the methods presented. Since the goal of this textbook is to facilitate the use of these statistical learning techniques by practitioners in science, industry, and other fields, each chapter contains a tutorial on implementing the analyses and methods presented in R, an extremely popular open source statistical software platform.Two of the authors co-wrote The Elements of Statistical Learning (Hastie, Tibshirani and Friedman, 2nd edition 2009), a popular reference book for statistics and machine learning researchers. An Introduction to Statistical Learning covers many of the same topics, but at a level accessible to a much broader audience. This book is targeted at statisticians and non-statisticians alike who wish to use cutting-edge statistical learning techniques to analyze their data. The text assumes only a previous course in linear regression and no knowledge of matrix algebra.","collection-title":"Springer Texts in Statistics","event-place":"New York","ISBN":"978-1-4614-7137-0","language":"en","note":"DOI: 10.1007/978-1-4614-7138-7","publisher":"Springer-Verlag","publisher-place":"New York","source":"www.springer.com","title":"An Introduction to Statistical Learning: with Applications in R","title-short":"An Introduction to Statistical Learning","URL":"https://www.springer.com/gp/book/9781461471370","author":[{"family":"James","given":"Gareth"},{"family":"Witten","given":"Daniela"},{"family":"Hastie","given":"Trevor"},{"family":"Tibshirani","given":"Robert"}],"accessed":{"date-parts":[["2020",7,5]]},"issued":{"date-parts":[["2013"]]}}}],"schema":"https://github.com/citation-style-language/schema/raw/master/csl-citation.json"} </w:instrText>
      </w:r>
      <w:r w:rsidR="0055797F" w:rsidRPr="006E2AFE">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(James et al., 2013)</w:t>
      </w:r>
      <w:r w:rsidR="0055797F" w:rsidRPr="006E2AFE">
        <w:rPr>
          <w:rFonts w:ascii="Times New Roman" w:hAnsi="Times New Roman" w:cs="Times New Roman"/>
          <w:sz w:val="24"/>
          <w:szCs w:val="24"/>
        </w:rPr>
        <w:fldChar w:fldCharType="end"/>
      </w:r>
      <w:r w:rsidR="0055797F" w:rsidRPr="006E2AFE">
        <w:rPr>
          <w:rFonts w:ascii="Times New Roman" w:hAnsi="Times New Roman" w:cs="Times New Roman"/>
          <w:sz w:val="24"/>
          <w:szCs w:val="24"/>
          <w:lang w:bidi="en-US"/>
        </w:rPr>
        <w:t xml:space="preserve">. </w:t>
      </w:r>
      <w:r w:rsidR="00AE7FEF">
        <w:rPr>
          <w:rFonts w:ascii="Times New Roman" w:hAnsi="Times New Roman" w:cs="Times New Roman"/>
          <w:sz w:val="24"/>
          <w:szCs w:val="24"/>
          <w:lang w:bidi="en-US"/>
        </w:rPr>
        <w:t xml:space="preserve">The predictions from each tree are averaged to provide an overall prediction. </w:t>
      </w:r>
      <w:r w:rsidR="0055797F">
        <w:rPr>
          <w:rFonts w:ascii="Times New Roman" w:hAnsi="Times New Roman" w:cs="Times New Roman"/>
          <w:sz w:val="24"/>
          <w:szCs w:val="24"/>
          <w:lang w:bidi="en-US"/>
        </w:rPr>
        <w:t>Extremely randomized trees (Extra</w:t>
      </w:r>
      <w:r w:rsidR="009E68A8">
        <w:rPr>
          <w:rFonts w:ascii="Times New Roman" w:hAnsi="Times New Roman" w:cs="Times New Roman"/>
          <w:sz w:val="24"/>
          <w:szCs w:val="24"/>
          <w:lang w:bidi="en-US"/>
        </w:rPr>
        <w:t xml:space="preserve"> </w:t>
      </w:r>
      <w:r w:rsidR="0055797F">
        <w:rPr>
          <w:rFonts w:ascii="Times New Roman" w:hAnsi="Times New Roman" w:cs="Times New Roman"/>
          <w:sz w:val="24"/>
          <w:szCs w:val="24"/>
          <w:lang w:bidi="en-US"/>
        </w:rPr>
        <w:t xml:space="preserve">Trees) </w:t>
      </w:r>
      <w:r w:rsidR="009D12A2">
        <w:rPr>
          <w:rFonts w:ascii="Times New Roman" w:hAnsi="Times New Roman" w:cs="Times New Roman"/>
          <w:sz w:val="24"/>
          <w:szCs w:val="24"/>
          <w:lang w:bidi="en-US"/>
        </w:rPr>
        <w:t xml:space="preserve">is </w:t>
      </w:r>
      <w:r w:rsidR="00AE7FEF">
        <w:rPr>
          <w:rFonts w:ascii="Times New Roman" w:hAnsi="Times New Roman" w:cs="Times New Roman"/>
          <w:sz w:val="24"/>
          <w:szCs w:val="24"/>
          <w:lang w:bidi="en-US"/>
        </w:rPr>
        <w:t xml:space="preserve">a tree based </w:t>
      </w:r>
      <w:r w:rsidR="0055797F">
        <w:rPr>
          <w:rFonts w:ascii="Times New Roman" w:hAnsi="Times New Roman" w:cs="Times New Roman"/>
          <w:sz w:val="24"/>
          <w:szCs w:val="24"/>
          <w:lang w:bidi="en-US"/>
        </w:rPr>
        <w:t xml:space="preserve">method that is </w:t>
      </w:r>
      <w:r w:rsidR="009D12A2">
        <w:rPr>
          <w:rFonts w:ascii="Times New Roman" w:hAnsi="Times New Roman" w:cs="Times New Roman"/>
          <w:sz w:val="24"/>
          <w:szCs w:val="24"/>
          <w:lang w:bidi="en-US"/>
        </w:rPr>
        <w:t>like</w:t>
      </w:r>
      <w:r w:rsidR="0055797F">
        <w:rPr>
          <w:rFonts w:ascii="Times New Roman" w:hAnsi="Times New Roman" w:cs="Times New Roman"/>
          <w:sz w:val="24"/>
          <w:szCs w:val="24"/>
          <w:lang w:bidi="en-US"/>
        </w:rPr>
        <w:t xml:space="preserve"> random forests </w:t>
      </w:r>
      <w:r w:rsidR="0055797F">
        <w:rPr>
          <w:rFonts w:ascii="Times New Roman" w:hAnsi="Times New Roman" w:cs="Times New Roman"/>
          <w:sz w:val="24"/>
          <w:szCs w:val="24"/>
          <w:lang w:bidi="en-US"/>
        </w:rPr>
        <w:fldChar w:fldCharType="begin"/>
      </w:r>
      <w:r w:rsidR="0055797F">
        <w:rPr>
          <w:rFonts w:ascii="Times New Roman" w:hAnsi="Times New Roman" w:cs="Times New Roman"/>
          <w:sz w:val="24"/>
          <w:szCs w:val="24"/>
          <w:lang w:bidi="en-US"/>
        </w:rPr>
        <w:instrText xml:space="preserve"> ADDIN ZOTERO_ITEM CSL_CITATION {"citationID":"sLVgQjYZ","properties":{"formattedCitation":"(Geurts et al., 2006)","plainCitation":"(Geurts et al., 2006)","noteIndex":0},"citationItems":[{"id":2583,"uris":["http://zotero.org/users/5823779/items/S5YAGXVP"],"itemData":{"id":2583,"type":"article-journal","abstract":"This paper proposes a new tree-based ensemble method for supervised classification and regression problems. It essentially consists of randomizing strongly both attribute and cut-point choice while splitting a tree node. In the extreme case, it builds totally randomized trees whose structures are independent of the output values of the learning sample. The strength of the randomization can be tuned to problem specifics by the appropriate choice of a parameter. We evaluate the robustness of the default choice of this parameter, and we also provide insight on how to adjust it in particular situations. Besides accuracy, the main strength of the resulting algorithm is computational efficiency. A bias/variance analysis of the Extra-Trees algorithm is also provided as well as a geometrical and a kernel characterization of the models induced.","container-title":"Machine Learning","DOI":"10.1007/s10994-006-6226-1","ISSN":"1573-0565","issue":"1","journalAbbreviation":"Mach Learn","language":"en","page":"3-42","source":"Springer Link","title":"Extremely randomized trees","volume":"63","author":[{"family":"Geurts","given":"Pierre"},{"family":"Ernst","given":"Damien"},{"family":"Wehenkel","given":"Louis"}],"issued":{"date-parts":[["2006",4,1]]}}}],"schema":"https://github.com/citation-style-language/schema/raw/master/csl-citation.json"} </w:instrText>
      </w:r>
      <w:r w:rsidR="0055797F">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(Geurts et al., 2006)</w:t>
      </w:r>
      <w:r w:rsidR="0055797F">
        <w:rPr>
          <w:rFonts w:ascii="Times New Roman" w:hAnsi="Times New Roman" w:cs="Times New Roman"/>
          <w:sz w:val="24"/>
          <w:szCs w:val="24"/>
          <w:lang w:bidi="en-US"/>
        </w:rPr>
        <w:fldChar w:fldCharType="end"/>
      </w:r>
      <w:r w:rsidR="0055797F">
        <w:rPr>
          <w:rFonts w:ascii="Times New Roman" w:hAnsi="Times New Roman" w:cs="Times New Roman"/>
          <w:sz w:val="24"/>
          <w:szCs w:val="24"/>
          <w:lang w:bidi="en-US"/>
        </w:rPr>
        <w:t xml:space="preserve">. </w:t>
      </w:r>
      <w:r w:rsidR="00AE7FEF">
        <w:rPr>
          <w:rFonts w:ascii="Times New Roman" w:hAnsi="Times New Roman" w:cs="Times New Roman"/>
          <w:sz w:val="24"/>
          <w:szCs w:val="24"/>
          <w:lang w:bidi="en-US"/>
        </w:rPr>
        <w:t xml:space="preserve">At each split, </w:t>
      </w:r>
      <w:r w:rsidR="0055797F">
        <w:rPr>
          <w:rFonts w:ascii="Times New Roman" w:hAnsi="Times New Roman" w:cs="Times New Roman"/>
          <w:sz w:val="24"/>
          <w:szCs w:val="24"/>
          <w:lang w:bidi="en-US"/>
        </w:rPr>
        <w:t>Extra</w:t>
      </w:r>
      <w:r w:rsidR="009E68A8">
        <w:rPr>
          <w:rFonts w:ascii="Times New Roman" w:hAnsi="Times New Roman" w:cs="Times New Roman"/>
          <w:sz w:val="24"/>
          <w:szCs w:val="24"/>
          <w:lang w:bidi="en-US"/>
        </w:rPr>
        <w:t xml:space="preserve"> </w:t>
      </w:r>
      <w:r w:rsidR="0055797F">
        <w:rPr>
          <w:rFonts w:ascii="Times New Roman" w:hAnsi="Times New Roman" w:cs="Times New Roman"/>
          <w:sz w:val="24"/>
          <w:szCs w:val="24"/>
          <w:lang w:bidi="en-US"/>
        </w:rPr>
        <w:t>Trees</w:t>
      </w:r>
      <w:r w:rsidR="00AE7FEF">
        <w:rPr>
          <w:rFonts w:ascii="Times New Roman" w:hAnsi="Times New Roman" w:cs="Times New Roman"/>
          <w:sz w:val="24"/>
          <w:szCs w:val="24"/>
          <w:lang w:bidi="en-US"/>
        </w:rPr>
        <w:t xml:space="preserve">, </w:t>
      </w:r>
      <w:proofErr w:type="gramStart"/>
      <w:r w:rsidR="00AE7FEF">
        <w:rPr>
          <w:rFonts w:ascii="Times New Roman" w:hAnsi="Times New Roman" w:cs="Times New Roman"/>
          <w:sz w:val="24"/>
          <w:szCs w:val="24"/>
          <w:lang w:bidi="en-US"/>
        </w:rPr>
        <w:t>similar to</w:t>
      </w:r>
      <w:proofErr w:type="gramEnd"/>
      <w:r w:rsidR="00AE7FEF">
        <w:rPr>
          <w:rFonts w:ascii="Times New Roman" w:hAnsi="Times New Roman" w:cs="Times New Roman"/>
          <w:sz w:val="24"/>
          <w:szCs w:val="24"/>
          <w:lang w:bidi="en-US"/>
        </w:rPr>
        <w:t xml:space="preserve"> random forests,</w:t>
      </w:r>
      <w:r w:rsidR="0055797F">
        <w:rPr>
          <w:rFonts w:ascii="Times New Roman" w:hAnsi="Times New Roman" w:cs="Times New Roman"/>
          <w:sz w:val="24"/>
          <w:szCs w:val="24"/>
          <w:lang w:bidi="en-US"/>
        </w:rPr>
        <w:t xml:space="preserve"> </w:t>
      </w:r>
      <w:r w:rsidR="00881BAC">
        <w:rPr>
          <w:rFonts w:ascii="Times New Roman" w:hAnsi="Times New Roman" w:cs="Times New Roman"/>
          <w:sz w:val="24"/>
          <w:szCs w:val="24"/>
          <w:lang w:bidi="en-US"/>
        </w:rPr>
        <w:t xml:space="preserve">also </w:t>
      </w:r>
      <w:r w:rsidR="0055797F">
        <w:rPr>
          <w:rFonts w:ascii="Times New Roman" w:hAnsi="Times New Roman" w:cs="Times New Roman"/>
          <w:sz w:val="24"/>
          <w:szCs w:val="24"/>
          <w:lang w:bidi="en-US"/>
        </w:rPr>
        <w:t>select</w:t>
      </w:r>
      <w:r w:rsidR="00881BAC">
        <w:rPr>
          <w:rFonts w:ascii="Times New Roman" w:hAnsi="Times New Roman" w:cs="Times New Roman"/>
          <w:sz w:val="24"/>
          <w:szCs w:val="24"/>
          <w:lang w:bidi="en-US"/>
        </w:rPr>
        <w:t>s</w:t>
      </w:r>
      <w:r w:rsidR="0055797F">
        <w:rPr>
          <w:rFonts w:ascii="Times New Roman" w:hAnsi="Times New Roman" w:cs="Times New Roman"/>
          <w:sz w:val="24"/>
          <w:szCs w:val="24"/>
          <w:lang w:bidi="en-US"/>
        </w:rPr>
        <w:t xml:space="preserve"> a subset of predictors</w:t>
      </w:r>
      <w:r w:rsidR="009D12A2">
        <w:rPr>
          <w:rFonts w:ascii="Times New Roman" w:hAnsi="Times New Roman" w:cs="Times New Roman"/>
          <w:sz w:val="24"/>
          <w:szCs w:val="24"/>
          <w:lang w:bidi="en-US"/>
        </w:rPr>
        <w:t xml:space="preserve"> chosen at random</w:t>
      </w:r>
      <w:r w:rsidR="0055797F">
        <w:rPr>
          <w:rFonts w:ascii="Times New Roman" w:hAnsi="Times New Roman" w:cs="Times New Roman"/>
          <w:sz w:val="24"/>
          <w:szCs w:val="24"/>
          <w:lang w:bidi="en-US"/>
        </w:rPr>
        <w:t xml:space="preserve">. </w:t>
      </w:r>
      <w:r w:rsidR="009D12A2">
        <w:rPr>
          <w:rFonts w:ascii="Times New Roman" w:hAnsi="Times New Roman" w:cs="Times New Roman"/>
          <w:sz w:val="24"/>
          <w:szCs w:val="24"/>
          <w:lang w:bidi="en-US"/>
        </w:rPr>
        <w:t>F</w:t>
      </w:r>
      <w:r w:rsidR="0055797F">
        <w:rPr>
          <w:rFonts w:ascii="Times New Roman" w:hAnsi="Times New Roman" w:cs="Times New Roman"/>
          <w:sz w:val="24"/>
          <w:szCs w:val="24"/>
          <w:lang w:bidi="en-US"/>
        </w:rPr>
        <w:t>or each of the selected predictors</w:t>
      </w:r>
      <w:r w:rsidR="00881BAC">
        <w:rPr>
          <w:rFonts w:ascii="Times New Roman" w:hAnsi="Times New Roman" w:cs="Times New Roman"/>
          <w:sz w:val="24"/>
          <w:szCs w:val="24"/>
          <w:lang w:bidi="en-US"/>
        </w:rPr>
        <w:t xml:space="preserve"> </w:t>
      </w:r>
      <w:r w:rsidR="009D12A2">
        <w:rPr>
          <w:rFonts w:ascii="Times New Roman" w:hAnsi="Times New Roman" w:cs="Times New Roman"/>
          <w:sz w:val="24"/>
          <w:szCs w:val="24"/>
          <w:lang w:bidi="en-US"/>
        </w:rPr>
        <w:t>a small number of randomly chosen split points (often one) is made.  T</w:t>
      </w:r>
      <w:r w:rsidR="0055797F">
        <w:rPr>
          <w:rFonts w:ascii="Times New Roman" w:hAnsi="Times New Roman" w:cs="Times New Roman"/>
          <w:sz w:val="24"/>
          <w:szCs w:val="24"/>
          <w:lang w:bidi="en-US"/>
        </w:rPr>
        <w:t xml:space="preserve">he best split </w:t>
      </w:r>
      <w:r w:rsidR="009D12A2">
        <w:rPr>
          <w:rFonts w:ascii="Times New Roman" w:hAnsi="Times New Roman" w:cs="Times New Roman"/>
          <w:sz w:val="24"/>
          <w:szCs w:val="24"/>
          <w:lang w:bidi="en-US"/>
        </w:rPr>
        <w:t xml:space="preserve">is chosen </w:t>
      </w:r>
      <w:r w:rsidR="0055797F">
        <w:rPr>
          <w:rFonts w:ascii="Times New Roman" w:hAnsi="Times New Roman" w:cs="Times New Roman"/>
          <w:sz w:val="24"/>
          <w:szCs w:val="24"/>
          <w:lang w:bidi="en-US"/>
        </w:rPr>
        <w:t xml:space="preserve">from this small number of choices. </w:t>
      </w:r>
      <w:r w:rsidR="007D601D">
        <w:rPr>
          <w:rFonts w:ascii="Times New Roman" w:hAnsi="Times New Roman" w:cs="Times New Roman"/>
          <w:sz w:val="24"/>
          <w:szCs w:val="24"/>
          <w:lang w:bidi="en-US"/>
        </w:rPr>
        <w:t xml:space="preserve">Extra Trees does not use bootstrapping but samples from the original data set. </w:t>
      </w:r>
      <w:r w:rsidR="00881BAC">
        <w:rPr>
          <w:rFonts w:ascii="Times New Roman" w:hAnsi="Times New Roman" w:cs="Times New Roman"/>
          <w:sz w:val="24"/>
          <w:szCs w:val="24"/>
          <w:lang w:bidi="en-US"/>
        </w:rPr>
        <w:t xml:space="preserve">Extra Trees </w:t>
      </w:r>
      <w:r w:rsidR="009D12A2">
        <w:rPr>
          <w:rFonts w:ascii="Times New Roman" w:hAnsi="Times New Roman" w:cs="Times New Roman"/>
          <w:sz w:val="24"/>
          <w:szCs w:val="24"/>
          <w:lang w:bidi="en-US"/>
        </w:rPr>
        <w:t>creates</w:t>
      </w:r>
      <w:r w:rsidR="00881BAC">
        <w:rPr>
          <w:rFonts w:ascii="Times New Roman" w:hAnsi="Times New Roman" w:cs="Times New Roman"/>
          <w:sz w:val="24"/>
          <w:szCs w:val="24"/>
          <w:lang w:bidi="en-US"/>
        </w:rPr>
        <w:t xml:space="preserve"> an</w:t>
      </w:r>
      <w:r w:rsidR="0055797F">
        <w:rPr>
          <w:rFonts w:ascii="Times New Roman" w:hAnsi="Times New Roman" w:cs="Times New Roman"/>
          <w:sz w:val="24"/>
          <w:szCs w:val="24"/>
          <w:lang w:bidi="en-US"/>
        </w:rPr>
        <w:t xml:space="preserve"> ensemble of trees contain</w:t>
      </w:r>
      <w:r w:rsidR="00881BAC">
        <w:rPr>
          <w:rFonts w:ascii="Times New Roman" w:hAnsi="Times New Roman" w:cs="Times New Roman"/>
          <w:sz w:val="24"/>
          <w:szCs w:val="24"/>
          <w:lang w:bidi="en-US"/>
        </w:rPr>
        <w:t>ing</w:t>
      </w:r>
      <w:r w:rsidR="0055797F">
        <w:rPr>
          <w:rFonts w:ascii="Times New Roman" w:hAnsi="Times New Roman" w:cs="Times New Roman"/>
          <w:sz w:val="24"/>
          <w:szCs w:val="24"/>
          <w:lang w:bidi="en-US"/>
        </w:rPr>
        <w:t xml:space="preserve"> trees that </w:t>
      </w:r>
      <w:r w:rsidR="00AE7FEF">
        <w:rPr>
          <w:rFonts w:ascii="Times New Roman" w:hAnsi="Times New Roman" w:cs="Times New Roman"/>
          <w:sz w:val="24"/>
          <w:szCs w:val="24"/>
          <w:lang w:bidi="en-US"/>
        </w:rPr>
        <w:t>have</w:t>
      </w:r>
      <w:r w:rsidR="0055797F">
        <w:rPr>
          <w:rFonts w:ascii="Times New Roman" w:hAnsi="Times New Roman" w:cs="Times New Roman"/>
          <w:sz w:val="24"/>
          <w:szCs w:val="24"/>
          <w:lang w:bidi="en-US"/>
        </w:rPr>
        <w:t xml:space="preserve"> more variab</w:t>
      </w:r>
      <w:r w:rsidR="00AE7FEF">
        <w:rPr>
          <w:rFonts w:ascii="Times New Roman" w:hAnsi="Times New Roman" w:cs="Times New Roman"/>
          <w:sz w:val="24"/>
          <w:szCs w:val="24"/>
          <w:lang w:bidi="en-US"/>
        </w:rPr>
        <w:t>ility</w:t>
      </w:r>
      <w:r w:rsidR="0055797F">
        <w:rPr>
          <w:rFonts w:ascii="Times New Roman" w:hAnsi="Times New Roman" w:cs="Times New Roman"/>
          <w:sz w:val="24"/>
          <w:szCs w:val="24"/>
          <w:lang w:bidi="en-US"/>
        </w:rPr>
        <w:t xml:space="preserve"> but </w:t>
      </w:r>
      <w:r w:rsidR="00AE7FEF">
        <w:rPr>
          <w:rFonts w:ascii="Times New Roman" w:hAnsi="Times New Roman" w:cs="Times New Roman"/>
          <w:sz w:val="24"/>
          <w:szCs w:val="24"/>
          <w:lang w:bidi="en-US"/>
        </w:rPr>
        <w:t xml:space="preserve">are </w:t>
      </w:r>
      <w:r w:rsidR="0055797F">
        <w:rPr>
          <w:rFonts w:ascii="Times New Roman" w:hAnsi="Times New Roman" w:cs="Times New Roman"/>
          <w:sz w:val="24"/>
          <w:szCs w:val="24"/>
          <w:lang w:bidi="en-US"/>
        </w:rPr>
        <w:t xml:space="preserve">less correlated than the trees from a random forests </w:t>
      </w:r>
      <w:r w:rsidR="0055797F">
        <w:rPr>
          <w:rFonts w:ascii="Times New Roman" w:hAnsi="Times New Roman" w:cs="Times New Roman"/>
          <w:sz w:val="24"/>
          <w:szCs w:val="24"/>
          <w:lang w:bidi="en-US"/>
        </w:rPr>
        <w:fldChar w:fldCharType="begin"/>
      </w:r>
      <w:r w:rsidR="0055797F">
        <w:rPr>
          <w:rFonts w:ascii="Times New Roman" w:hAnsi="Times New Roman" w:cs="Times New Roman"/>
          <w:sz w:val="24"/>
          <w:szCs w:val="24"/>
          <w:lang w:bidi="en-US"/>
        </w:rPr>
        <w:instrText xml:space="preserve"> ADDIN ZOTERO_ITEM CSL_CITATION {"citationID":"4zgnBOQa","properties":{"formattedCitation":"(Geurts et al., 2006)","plainCitation":"(Geurts et al., 2006)","noteIndex":0},"citationItems":[{"id":2583,"uris":["http://zotero.org/users/5823779/items/S5YAGXVP"],"itemData":{"id":2583,"type":"article-journal","abstract":"This paper proposes a new tree-based ensemble method for supervised classification and regression problems. It essentially consists of randomizing strongly both attribute and cut-point choice while splitting a tree node. In the extreme case, it builds totally randomized trees whose structures are independent of the output values of the learning sample. The strength of the randomization can be tuned to problem specifics by the appropriate choice of a parameter. We evaluate the robustness of the default choice of this parameter, and we also provide insight on how to adjust it in particular situations. Besides accuracy, the main strength of the resulting algorithm is computational efficiency. A bias/variance analysis of the Extra-Trees algorithm is also provided as well as a geometrical and a kernel characterization of the models induced.","container-title":"Machine Learning","DOI":"10.1007/s10994-006-6226-1","ISSN":"1573-0565","issue":"1","journalAbbreviation":"Mach Learn","language":"en","page":"3-42","source":"Springer Link","title":"Extremely randomized trees","volume":"63","author":[{"family":"Geurts","given":"Pierre"},{"family":"Ernst","given":"Damien"},{"family":"Wehenkel","given":"Louis"}],"issued":{"date-parts":[["2006",4,1]]}}}],"schema":"https://github.com/citation-style-language/schema/raw/master/csl-citation.json"} </w:instrText>
      </w:r>
      <w:r w:rsidR="0055797F">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(Geurts et al., 2006)</w:t>
      </w:r>
      <w:r w:rsidR="0055797F">
        <w:rPr>
          <w:rFonts w:ascii="Times New Roman" w:hAnsi="Times New Roman" w:cs="Times New Roman"/>
          <w:sz w:val="24"/>
          <w:szCs w:val="24"/>
          <w:lang w:bidi="en-US"/>
        </w:rPr>
        <w:fldChar w:fldCharType="end"/>
      </w:r>
      <w:r w:rsidR="0055797F">
        <w:rPr>
          <w:rFonts w:ascii="Times New Roman" w:hAnsi="Times New Roman" w:cs="Times New Roman"/>
          <w:sz w:val="24"/>
          <w:szCs w:val="24"/>
          <w:lang w:bidi="en-US"/>
        </w:rPr>
        <w:t xml:space="preserve">. </w:t>
      </w:r>
      <w:r w:rsidR="00420566">
        <w:rPr>
          <w:rFonts w:ascii="Times New Roman" w:hAnsi="Times New Roman" w:cs="Times New Roman"/>
          <w:sz w:val="24"/>
          <w:szCs w:val="24"/>
          <w:lang w:bidi="en-US"/>
        </w:rPr>
        <w:t>Extra Trees takes much less computational time than random forests</w:t>
      </w:r>
      <w:r w:rsidR="009D12A2">
        <w:rPr>
          <w:rFonts w:ascii="Times New Roman" w:hAnsi="Times New Roman" w:cs="Times New Roman"/>
          <w:sz w:val="24"/>
          <w:szCs w:val="24"/>
          <w:lang w:bidi="en-US"/>
        </w:rPr>
        <w:t xml:space="preserve"> because splits are chosen at random and bootstrapping is not used</w:t>
      </w:r>
      <w:r w:rsidR="00881BAC">
        <w:rPr>
          <w:rFonts w:ascii="Times New Roman" w:hAnsi="Times New Roman" w:cs="Times New Roman"/>
          <w:sz w:val="24"/>
          <w:szCs w:val="24"/>
          <w:lang w:bidi="en-US"/>
        </w:rPr>
        <w:t>.</w:t>
      </w:r>
      <w:r w:rsidR="0055797F">
        <w:rPr>
          <w:rFonts w:ascii="Times New Roman" w:hAnsi="Times New Roman" w:cs="Times New Roman"/>
          <w:sz w:val="24"/>
          <w:szCs w:val="24"/>
          <w:lang w:bidi="en-US"/>
        </w:rPr>
        <w:t xml:space="preserve"> </w:t>
      </w:r>
    </w:p>
    <w:p w14:paraId="7B166E7E" w14:textId="38F0C9C8" w:rsidR="00993AA4" w:rsidRDefault="0055797F" w:rsidP="00FE6626">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lastRenderedPageBreak/>
        <w:t xml:space="preserve">Instead of creating an ensemble of trees, tree boosting works by making a sequence of adjustments to one </w:t>
      </w:r>
      <w:r w:rsidR="00382746">
        <w:rPr>
          <w:rFonts w:ascii="Times New Roman" w:hAnsi="Times New Roman" w:cs="Times New Roman"/>
          <w:sz w:val="24"/>
          <w:szCs w:val="24"/>
          <w:lang w:bidi="en-US"/>
        </w:rPr>
        <w:t xml:space="preserve">decision </w:t>
      </w:r>
      <w:r>
        <w:rPr>
          <w:rFonts w:ascii="Times New Roman" w:hAnsi="Times New Roman" w:cs="Times New Roman"/>
          <w:sz w:val="24"/>
          <w:szCs w:val="24"/>
          <w:lang w:bidi="en-US"/>
        </w:rPr>
        <w:t>tree</w:t>
      </w:r>
      <w:r w:rsidR="00382746" w:rsidRPr="006E2AFE">
        <w:rPr>
          <w:rFonts w:ascii="Times New Roman" w:hAnsi="Times New Roman" w:cs="Times New Roman"/>
          <w:sz w:val="24"/>
          <w:szCs w:val="24"/>
          <w:lang w:bidi="en-US"/>
        </w:rPr>
        <w:t xml:space="preserve"> </w:t>
      </w:r>
      <w:r w:rsidR="00382746" w:rsidRPr="006E2AFE">
        <w:rPr>
          <w:rFonts w:ascii="Times New Roman" w:hAnsi="Times New Roman" w:cs="Times New Roman"/>
          <w:sz w:val="24"/>
          <w:szCs w:val="24"/>
          <w:lang w:bidi="en-US"/>
        </w:rPr>
        <w:fldChar w:fldCharType="begin"/>
      </w:r>
      <w:r w:rsidR="001915FE">
        <w:rPr>
          <w:rFonts w:ascii="Times New Roman" w:hAnsi="Times New Roman" w:cs="Times New Roman"/>
          <w:sz w:val="24"/>
          <w:szCs w:val="24"/>
          <w:lang w:bidi="en-US"/>
        </w:rPr>
        <w:instrText xml:space="preserve"> ADDIN ZOTERO_ITEM CSL_CITATION {"citationID":"Q0f5Pazp","properties":{"formattedCitation":"(James et al., 2013)","plainCitation":"(James et al., 2013)","noteIndex":0},"citationItems":[{"id":1681,"uris":["http://zotero.org/users/5823779/items/UVPPFRTW"],"itemData":{"id":1681,"type":"book","abstract":"An Introduction to Statistical Learning provides an accessible overview of the field of statistical learning, an essential toolset for making sense of the vast and complex data sets that have emerged in fields ranging from biology to finance to marketing to astrophysics in the past twenty years. This book presents some of the most important modeling and prediction techniques, along with relevant applications. Topics include linear regression, classification, resampling methods, shrinkage approaches, tree-based methods, support vector machines, clustering, and more. Color graphics and real-world examples are used to illustrate the methods presented. Since the goal of this textbook is to facilitate the use of these statistical learning techniques by practitioners in science, industry, and other fields, each chapter contains a tutorial on implementing the analyses and methods presented in R, an extremely popular open source statistical software platform.Two of the authors co-wrote The Elements of Statistical Learning (Hastie, Tibshirani and Friedman, 2nd edition 2009), a popular reference book for statistics and machine learning researchers. An Introduction to Statistical Learning covers many of the same topics, but at a level accessible to a much broader audience. This book is targeted at statisticians and non-statisticians alike who wish to use cutting-edge statistical learning techniques to analyze their data. The text assumes only a previous course in linear regression and no knowledge of matrix algebra.","collection-title":"Springer Texts in Statistics","event-place":"New York","ISBN":"978-1-4614-7137-0","language":"en","note":"DOI: 10.1007/978-1-4614-7138-7","publisher":"Springer-Verlag","publisher-place":"New York","source":"www.springer.com","title":"An Introduction to Statistical Learning: with Applications in R","title-short":"An Introduction to Statistical Learning","URL":"https://www.springer.com/gp/book/9781461471370","author":[{"family":"James","given":"Gareth"},{"family":"Witten","given":"Daniela"},{"family":"Hastie","given":"Trevor"},{"family":"Tibshirani","given":"Robert"}],"accessed":{"date-parts":[["2020",7,5]]},"issued":{"date-parts":[["2013"]]}}}],"schema":"https://github.com/citation-style-language/schema/raw/master/csl-citation.json"} </w:instrText>
      </w:r>
      <w:r w:rsidR="00382746" w:rsidRPr="006E2AFE">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(James et al., 2013)</w:t>
      </w:r>
      <w:r w:rsidR="00382746" w:rsidRPr="006E2AFE">
        <w:rPr>
          <w:rFonts w:ascii="Times New Roman" w:hAnsi="Times New Roman" w:cs="Times New Roman"/>
          <w:sz w:val="24"/>
          <w:szCs w:val="24"/>
        </w:rPr>
        <w:fldChar w:fldCharType="end"/>
      </w:r>
      <w:r w:rsidR="00382746">
        <w:rPr>
          <w:rFonts w:ascii="Times New Roman" w:hAnsi="Times New Roman" w:cs="Times New Roman"/>
          <w:sz w:val="24"/>
          <w:szCs w:val="24"/>
          <w:lang w:bidi="en-US"/>
        </w:rPr>
        <w:t xml:space="preserve">. A boosted decision tree is constructed as follows. First, a decision tree is fit to the data. Then a decision tree is fit to the residuals. </w:t>
      </w:r>
      <w:r>
        <w:rPr>
          <w:rFonts w:ascii="Times New Roman" w:hAnsi="Times New Roman" w:cs="Times New Roman"/>
          <w:sz w:val="24"/>
          <w:szCs w:val="24"/>
          <w:lang w:bidi="en-US"/>
        </w:rPr>
        <w:t xml:space="preserve"> </w:t>
      </w:r>
      <w:r w:rsidR="00382746">
        <w:rPr>
          <w:rFonts w:ascii="Times New Roman" w:hAnsi="Times New Roman" w:cs="Times New Roman"/>
          <w:sz w:val="24"/>
          <w:szCs w:val="24"/>
          <w:lang w:bidi="en-US"/>
        </w:rPr>
        <w:t>This new decision tree is added to the previous tree</w:t>
      </w:r>
      <w:r w:rsidR="009E68A8">
        <w:rPr>
          <w:rFonts w:ascii="Times New Roman" w:hAnsi="Times New Roman" w:cs="Times New Roman"/>
          <w:sz w:val="24"/>
          <w:szCs w:val="24"/>
          <w:lang w:bidi="en-US"/>
        </w:rPr>
        <w:t xml:space="preserve"> and a new model is fit</w:t>
      </w:r>
      <w:r w:rsidR="00382746">
        <w:rPr>
          <w:rFonts w:ascii="Times New Roman" w:hAnsi="Times New Roman" w:cs="Times New Roman"/>
          <w:sz w:val="24"/>
          <w:szCs w:val="24"/>
          <w:lang w:bidi="en-US"/>
        </w:rPr>
        <w:t xml:space="preserve">. The updated residuals are again fit with a decision tree. This sequential approach continues until a </w:t>
      </w:r>
      <w:r w:rsidR="005B5108">
        <w:rPr>
          <w:rFonts w:ascii="Times New Roman" w:hAnsi="Times New Roman" w:cs="Times New Roman"/>
          <w:sz w:val="24"/>
          <w:szCs w:val="24"/>
          <w:lang w:bidi="en-US"/>
        </w:rPr>
        <w:t>stopping criterion</w:t>
      </w:r>
      <w:r w:rsidR="00382746">
        <w:rPr>
          <w:rFonts w:ascii="Times New Roman" w:hAnsi="Times New Roman" w:cs="Times New Roman"/>
          <w:sz w:val="24"/>
          <w:szCs w:val="24"/>
          <w:lang w:bidi="en-US"/>
        </w:rPr>
        <w:t xml:space="preserve"> is met.</w:t>
      </w:r>
      <w:r w:rsidR="005B5108">
        <w:rPr>
          <w:rFonts w:ascii="Times New Roman" w:hAnsi="Times New Roman" w:cs="Times New Roman"/>
          <w:sz w:val="24"/>
          <w:szCs w:val="24"/>
          <w:lang w:bidi="en-US"/>
        </w:rPr>
        <w:t xml:space="preserve"> The estimation process fits small trees to the residuals </w:t>
      </w:r>
      <w:r w:rsidR="0093333B">
        <w:rPr>
          <w:rFonts w:ascii="Times New Roman" w:hAnsi="Times New Roman" w:cs="Times New Roman"/>
          <w:sz w:val="24"/>
          <w:szCs w:val="24"/>
          <w:lang w:bidi="en-US"/>
        </w:rPr>
        <w:t xml:space="preserve">at each step </w:t>
      </w:r>
      <w:r w:rsidR="005B5108">
        <w:rPr>
          <w:rFonts w:ascii="Times New Roman" w:hAnsi="Times New Roman" w:cs="Times New Roman"/>
          <w:sz w:val="24"/>
          <w:szCs w:val="24"/>
          <w:lang w:bidi="en-US"/>
        </w:rPr>
        <w:t xml:space="preserve">and in this way slowly improves the fit of the original decision tree. </w:t>
      </w:r>
      <w:r w:rsidR="006B02F0">
        <w:rPr>
          <w:rFonts w:ascii="Times New Roman" w:hAnsi="Times New Roman" w:cs="Times New Roman"/>
          <w:sz w:val="24"/>
          <w:szCs w:val="24"/>
          <w:lang w:bidi="en-US"/>
        </w:rPr>
        <w:t>There are</w:t>
      </w:r>
      <w:r w:rsidR="005B5108">
        <w:rPr>
          <w:rFonts w:ascii="Times New Roman" w:hAnsi="Times New Roman" w:cs="Times New Roman"/>
          <w:sz w:val="24"/>
          <w:szCs w:val="24"/>
          <w:lang w:bidi="en-US"/>
        </w:rPr>
        <w:t xml:space="preserve"> three main tuning parameters</w:t>
      </w:r>
      <w:r w:rsidR="006B02F0">
        <w:rPr>
          <w:rFonts w:ascii="Times New Roman" w:hAnsi="Times New Roman" w:cs="Times New Roman"/>
          <w:sz w:val="24"/>
          <w:szCs w:val="24"/>
          <w:lang w:bidi="en-US"/>
        </w:rPr>
        <w:t xml:space="preserve"> for boosting</w:t>
      </w:r>
      <w:r w:rsidR="005B5108">
        <w:rPr>
          <w:rFonts w:ascii="Times New Roman" w:hAnsi="Times New Roman" w:cs="Times New Roman"/>
          <w:sz w:val="24"/>
          <w:szCs w:val="24"/>
          <w:lang w:bidi="en-US"/>
        </w:rPr>
        <w:t xml:space="preserve">; the number of trees, the shrinkage parameter which controls the rate at which learning takes place, and the number of splits in each tree (interaction depth) which controls the complexity of the tree. There is an inverse relationship between the learning rate and the number of trees and in many practical applications boosting can take much more computational time than random forests. </w:t>
      </w:r>
    </w:p>
    <w:p w14:paraId="6C6B52A6" w14:textId="7BA740A3" w:rsidR="0055797F" w:rsidRPr="00EC4BFC" w:rsidRDefault="00057A06" w:rsidP="0055797F">
      <w:pPr>
        <w:spacing w:after="0" w:line="480" w:lineRule="auto"/>
        <w:ind w:firstLine="720"/>
        <w:rPr>
          <w:rFonts w:ascii="Times New Roman" w:hAnsi="Times New Roman" w:cs="Times New Roman"/>
          <w:sz w:val="24"/>
          <w:szCs w:val="24"/>
        </w:rPr>
      </w:pPr>
      <w:r>
        <w:rPr>
          <w:rStyle w:val="Hyperlink"/>
          <w:rFonts w:ascii="Times New Roman" w:hAnsi="Times New Roman" w:cs="Times New Roman"/>
          <w:color w:val="auto"/>
          <w:sz w:val="24"/>
          <w:szCs w:val="24"/>
          <w:u w:val="none"/>
        </w:rPr>
        <w:t>Support Vector Machine (</w:t>
      </w:r>
      <w:r w:rsidR="0055797F" w:rsidRPr="00EC4BFC">
        <w:rPr>
          <w:rStyle w:val="Hyperlink"/>
          <w:rFonts w:ascii="Times New Roman" w:hAnsi="Times New Roman" w:cs="Times New Roman"/>
          <w:color w:val="auto"/>
          <w:sz w:val="24"/>
          <w:szCs w:val="24"/>
          <w:u w:val="none"/>
        </w:rPr>
        <w:t>SVM</w:t>
      </w:r>
      <w:r>
        <w:rPr>
          <w:rStyle w:val="Hyperlink"/>
          <w:rFonts w:ascii="Times New Roman" w:hAnsi="Times New Roman" w:cs="Times New Roman"/>
          <w:color w:val="auto"/>
          <w:sz w:val="24"/>
          <w:szCs w:val="24"/>
          <w:u w:val="none"/>
        </w:rPr>
        <w:t>)</w:t>
      </w:r>
      <w:r w:rsidR="0055797F" w:rsidRPr="00EC4BFC">
        <w:rPr>
          <w:rStyle w:val="Hyperlink"/>
          <w:rFonts w:ascii="Times New Roman" w:hAnsi="Times New Roman" w:cs="Times New Roman"/>
          <w:color w:val="auto"/>
          <w:sz w:val="24"/>
          <w:szCs w:val="24"/>
          <w:u w:val="none"/>
        </w:rPr>
        <w:t xml:space="preserve"> </w:t>
      </w:r>
      <w:r w:rsidR="0055797F">
        <w:rPr>
          <w:rStyle w:val="Hyperlink"/>
          <w:rFonts w:ascii="Times New Roman" w:hAnsi="Times New Roman" w:cs="Times New Roman"/>
          <w:color w:val="auto"/>
          <w:sz w:val="24"/>
          <w:szCs w:val="24"/>
          <w:u w:val="none"/>
        </w:rPr>
        <w:t xml:space="preserve">is a machine learning method that </w:t>
      </w:r>
      <w:r w:rsidR="0055797F" w:rsidRPr="00EC4BFC">
        <w:rPr>
          <w:rStyle w:val="Hyperlink"/>
          <w:rFonts w:ascii="Times New Roman" w:hAnsi="Times New Roman" w:cs="Times New Roman"/>
          <w:color w:val="auto"/>
          <w:sz w:val="24"/>
          <w:szCs w:val="24"/>
          <w:u w:val="none"/>
        </w:rPr>
        <w:t>partition</w:t>
      </w:r>
      <w:r>
        <w:rPr>
          <w:rStyle w:val="Hyperlink"/>
          <w:rFonts w:ascii="Times New Roman" w:hAnsi="Times New Roman" w:cs="Times New Roman"/>
          <w:color w:val="auto"/>
          <w:sz w:val="24"/>
          <w:szCs w:val="24"/>
          <w:u w:val="none"/>
        </w:rPr>
        <w:t>s</w:t>
      </w:r>
      <w:r w:rsidR="0055797F" w:rsidRPr="00EC4BFC">
        <w:rPr>
          <w:rStyle w:val="Hyperlink"/>
          <w:rFonts w:ascii="Times New Roman" w:hAnsi="Times New Roman" w:cs="Times New Roman"/>
          <w:color w:val="auto"/>
          <w:sz w:val="24"/>
          <w:szCs w:val="24"/>
          <w:u w:val="none"/>
        </w:rPr>
        <w:t xml:space="preserve"> a data set into groups</w:t>
      </w:r>
      <w:r w:rsidR="00337434">
        <w:rPr>
          <w:rStyle w:val="Hyperlink"/>
          <w:rFonts w:ascii="Times New Roman" w:hAnsi="Times New Roman" w:cs="Times New Roman"/>
          <w:color w:val="auto"/>
          <w:sz w:val="24"/>
          <w:szCs w:val="24"/>
          <w:u w:val="none"/>
        </w:rPr>
        <w:t>. The separation between groups is achieved</w:t>
      </w:r>
      <w:r w:rsidR="0055797F" w:rsidRPr="00EC4BFC">
        <w:rPr>
          <w:rStyle w:val="Hyperlink"/>
          <w:rFonts w:ascii="Times New Roman" w:hAnsi="Times New Roman" w:cs="Times New Roman"/>
          <w:color w:val="auto"/>
          <w:sz w:val="24"/>
          <w:szCs w:val="24"/>
          <w:u w:val="none"/>
        </w:rPr>
        <w:t xml:space="preserve"> using a boundary </w:t>
      </w:r>
      <w:r w:rsidR="00337434">
        <w:rPr>
          <w:rStyle w:val="Hyperlink"/>
          <w:rFonts w:ascii="Times New Roman" w:hAnsi="Times New Roman" w:cs="Times New Roman"/>
          <w:color w:val="auto"/>
          <w:sz w:val="24"/>
          <w:szCs w:val="24"/>
          <w:u w:val="none"/>
        </w:rPr>
        <w:t>(</w:t>
      </w:r>
      <w:r w:rsidR="0055797F" w:rsidRPr="00EC4BFC">
        <w:rPr>
          <w:rStyle w:val="Hyperlink"/>
          <w:rFonts w:ascii="Times New Roman" w:hAnsi="Times New Roman" w:cs="Times New Roman"/>
          <w:color w:val="auto"/>
          <w:sz w:val="24"/>
          <w:szCs w:val="24"/>
          <w:u w:val="none"/>
        </w:rPr>
        <w:t>hyperplane</w:t>
      </w:r>
      <w:r w:rsidR="00337434">
        <w:rPr>
          <w:rStyle w:val="Hyperlink"/>
          <w:rFonts w:ascii="Times New Roman" w:hAnsi="Times New Roman" w:cs="Times New Roman"/>
          <w:color w:val="auto"/>
          <w:sz w:val="24"/>
          <w:szCs w:val="24"/>
          <w:u w:val="none"/>
        </w:rPr>
        <w:t>)</w:t>
      </w:r>
      <w:r w:rsidR="0055797F" w:rsidRPr="00EC4BFC">
        <w:rPr>
          <w:rStyle w:val="Hyperlink"/>
          <w:rFonts w:ascii="Times New Roman" w:hAnsi="Times New Roman" w:cs="Times New Roman"/>
          <w:color w:val="auto"/>
          <w:sz w:val="24"/>
          <w:szCs w:val="24"/>
          <w:u w:val="none"/>
        </w:rPr>
        <w:t xml:space="preserve"> </w:t>
      </w:r>
      <w:r w:rsidR="0055797F" w:rsidRPr="00EC4BFC">
        <w:rPr>
          <w:rStyle w:val="Hyperlink"/>
          <w:rFonts w:ascii="Times New Roman" w:hAnsi="Times New Roman" w:cs="Times New Roman"/>
          <w:color w:val="auto"/>
          <w:sz w:val="24"/>
          <w:szCs w:val="24"/>
          <w:u w:val="none"/>
        </w:rPr>
        <w:fldChar w:fldCharType="begin"/>
      </w:r>
      <w:r w:rsidR="0055797F" w:rsidRPr="00EC4BFC">
        <w:rPr>
          <w:rStyle w:val="Hyperlink"/>
          <w:rFonts w:ascii="Times New Roman" w:hAnsi="Times New Roman" w:cs="Times New Roman"/>
          <w:color w:val="auto"/>
          <w:sz w:val="24"/>
          <w:szCs w:val="24"/>
          <w:u w:val="none"/>
        </w:rPr>
        <w:instrText xml:space="preserve"> ADDIN ZOTERO_ITEM CSL_CITATION {"citationID":"e4U3P1iS","properties":{"formattedCitation":"(James et al., 2013)","plainCitation":"(James et al., 2013)","noteIndex":0},"citationItems":[{"id":1681,"uris":["http://zotero.org/users/5823779/items/UVPPFRTW"],"itemData":{"id":1681,"type":"book","abstract":"An Introduction to Statistical Learning provides an accessible overview of the field of statistical learning, an essential toolset for making sense of the vast and complex data sets that have emerged in fields ranging from biology to finance to marketing to astrophysics in the past twenty years. This book presents some of the most important modeling and prediction techniques, along with relevant applications. Topics include linear regression, classification, resampling methods, shrinkage approaches, tree-based methods, support vector machines, clustering, and more. Color graphics and real-world examples are used to illustrate the methods presented. Since the goal of this textbook is to facilitate the use of these statistical learning techniques by practitioners in science, industry, and other fields, each chapter contains a tutorial on implementing the analyses and methods presented in R, an extremely popular open source statistical software platform.Two of the authors co-wrote The Elements of Statistical Learning (Hastie, Tibshirani and Friedman, 2nd edition 2009), a popular reference book for statistics and machine learning researchers. An Introduction to Statistical Learning covers many of the same topics, but at a level accessible to a much broader audience. This book is targeted at statisticians and non-statisticians alike who wish to use cutting-edge statistical learning techniques to analyze their data. The text assumes only a previous course in linear regression and no knowledge of matrix algebra.","collection-title":"Springer Texts in Statistics","event-place":"New York","ISBN":"978-1-4614-7137-0","language":"en","note":"DOI: 10.1007/978-1-4614-7138-7","publisher":"Springer-Verlag","publisher-place":"New York","source":"www.springer.com","title":"An Introduction to Statistical Learning: with Applications in R","title-short":"An Introduction to Statistical Learning","URL":"https://www.springer.com/gp/book/9781461471370","author":[{"family":"James","given":"Gareth"},{"family":"Witten","given":"Daniela"},{"family":"Hastie","given":"Trevor"},{"family":"Tibshirani","given":"Robert"}],"accessed":{"date-parts":[["2020",7,5]]},"issued":{"date-parts":[["2013"]]}}}],"schema":"https://github.com/citation-style-language/schema/raw/master/csl-citation.json"} </w:instrText>
      </w:r>
      <w:r w:rsidR="0055797F" w:rsidRPr="00EC4BFC">
        <w:rPr>
          <w:rStyle w:val="Hyperlink"/>
          <w:rFonts w:ascii="Times New Roman" w:hAnsi="Times New Roman" w:cs="Times New Roman"/>
          <w:color w:val="auto"/>
          <w:sz w:val="24"/>
          <w:szCs w:val="24"/>
          <w:u w:val="none"/>
        </w:rPr>
        <w:fldChar w:fldCharType="separate"/>
      </w:r>
      <w:r w:rsidR="00F31A70" w:rsidRPr="00F31A70">
        <w:rPr>
          <w:rFonts w:ascii="Times New Roman" w:hAnsi="Times New Roman" w:cs="Times New Roman"/>
          <w:sz w:val="24"/>
        </w:rPr>
        <w:t>(James et al., 2013)</w:t>
      </w:r>
      <w:r w:rsidR="0055797F" w:rsidRPr="00EC4BFC">
        <w:rPr>
          <w:rStyle w:val="Hyperlink"/>
          <w:rFonts w:ascii="Times New Roman" w:hAnsi="Times New Roman" w:cs="Times New Roman"/>
          <w:color w:val="auto"/>
          <w:sz w:val="24"/>
          <w:szCs w:val="24"/>
          <w:u w:val="none"/>
        </w:rPr>
        <w:fldChar w:fldCharType="end"/>
      </w:r>
      <w:r w:rsidR="0055797F" w:rsidRPr="00EC4BFC">
        <w:rPr>
          <w:rStyle w:val="Hyperlink"/>
          <w:rFonts w:ascii="Times New Roman" w:hAnsi="Times New Roman" w:cs="Times New Roman"/>
          <w:color w:val="auto"/>
          <w:sz w:val="24"/>
          <w:szCs w:val="24"/>
          <w:u w:val="none"/>
        </w:rPr>
        <w:t xml:space="preserve">. There </w:t>
      </w:r>
      <w:r>
        <w:rPr>
          <w:rStyle w:val="Hyperlink"/>
          <w:rFonts w:ascii="Times New Roman" w:hAnsi="Times New Roman" w:cs="Times New Roman"/>
          <w:color w:val="auto"/>
          <w:sz w:val="24"/>
          <w:szCs w:val="24"/>
          <w:u w:val="none"/>
        </w:rPr>
        <w:t xml:space="preserve">are </w:t>
      </w:r>
      <w:r w:rsidR="0055797F" w:rsidRPr="00EC4BFC">
        <w:rPr>
          <w:rStyle w:val="Hyperlink"/>
          <w:rFonts w:ascii="Times New Roman" w:hAnsi="Times New Roman" w:cs="Times New Roman"/>
          <w:color w:val="auto"/>
          <w:sz w:val="24"/>
          <w:szCs w:val="24"/>
          <w:u w:val="none"/>
        </w:rPr>
        <w:t>many</w:t>
      </w:r>
      <w:r>
        <w:rPr>
          <w:rStyle w:val="Hyperlink"/>
          <w:rFonts w:ascii="Times New Roman" w:hAnsi="Times New Roman" w:cs="Times New Roman"/>
          <w:color w:val="auto"/>
          <w:sz w:val="24"/>
          <w:szCs w:val="24"/>
          <w:u w:val="none"/>
        </w:rPr>
        <w:t xml:space="preserve"> different</w:t>
      </w:r>
      <w:r w:rsidR="0055797F" w:rsidRPr="00EC4BFC">
        <w:rPr>
          <w:rStyle w:val="Hyperlink"/>
          <w:rFonts w:ascii="Times New Roman" w:hAnsi="Times New Roman" w:cs="Times New Roman"/>
          <w:color w:val="auto"/>
          <w:sz w:val="24"/>
          <w:szCs w:val="24"/>
          <w:u w:val="none"/>
        </w:rPr>
        <w:t xml:space="preserve"> hyperplanes which </w:t>
      </w:r>
      <w:r>
        <w:rPr>
          <w:rStyle w:val="Hyperlink"/>
          <w:rFonts w:ascii="Times New Roman" w:hAnsi="Times New Roman" w:cs="Times New Roman"/>
          <w:color w:val="auto"/>
          <w:sz w:val="24"/>
          <w:szCs w:val="24"/>
          <w:u w:val="none"/>
        </w:rPr>
        <w:t xml:space="preserve">can be used to </w:t>
      </w:r>
      <w:r w:rsidR="0055797F" w:rsidRPr="00EC4BFC">
        <w:rPr>
          <w:rStyle w:val="Hyperlink"/>
          <w:rFonts w:ascii="Times New Roman" w:hAnsi="Times New Roman" w:cs="Times New Roman"/>
          <w:color w:val="auto"/>
          <w:sz w:val="24"/>
          <w:szCs w:val="24"/>
          <w:u w:val="none"/>
        </w:rPr>
        <w:t xml:space="preserve">separate </w:t>
      </w:r>
      <w:r>
        <w:rPr>
          <w:rStyle w:val="Hyperlink"/>
          <w:rFonts w:ascii="Times New Roman" w:hAnsi="Times New Roman" w:cs="Times New Roman"/>
          <w:color w:val="auto"/>
          <w:sz w:val="24"/>
          <w:szCs w:val="24"/>
          <w:u w:val="none"/>
        </w:rPr>
        <w:t xml:space="preserve">the </w:t>
      </w:r>
      <w:r w:rsidR="0055797F" w:rsidRPr="00EC4BFC">
        <w:rPr>
          <w:rStyle w:val="Hyperlink"/>
          <w:rFonts w:ascii="Times New Roman" w:hAnsi="Times New Roman" w:cs="Times New Roman"/>
          <w:color w:val="auto"/>
          <w:sz w:val="24"/>
          <w:szCs w:val="24"/>
          <w:u w:val="none"/>
        </w:rPr>
        <w:t xml:space="preserve">data and </w:t>
      </w:r>
      <w:r w:rsidR="00337434">
        <w:rPr>
          <w:rStyle w:val="Hyperlink"/>
          <w:rFonts w:ascii="Times New Roman" w:hAnsi="Times New Roman" w:cs="Times New Roman"/>
          <w:color w:val="auto"/>
          <w:sz w:val="24"/>
          <w:szCs w:val="24"/>
          <w:u w:val="none"/>
        </w:rPr>
        <w:t xml:space="preserve">the goal of </w:t>
      </w:r>
      <w:r w:rsidR="0055797F" w:rsidRPr="00EC4BFC">
        <w:rPr>
          <w:rStyle w:val="Hyperlink"/>
          <w:rFonts w:ascii="Times New Roman" w:hAnsi="Times New Roman" w:cs="Times New Roman"/>
          <w:color w:val="auto"/>
          <w:sz w:val="24"/>
          <w:szCs w:val="24"/>
          <w:u w:val="none"/>
        </w:rPr>
        <w:t xml:space="preserve">SVM </w:t>
      </w:r>
      <w:r w:rsidR="00337434">
        <w:rPr>
          <w:rStyle w:val="Hyperlink"/>
          <w:rFonts w:ascii="Times New Roman" w:hAnsi="Times New Roman" w:cs="Times New Roman"/>
          <w:color w:val="auto"/>
          <w:sz w:val="24"/>
          <w:szCs w:val="24"/>
          <w:u w:val="none"/>
        </w:rPr>
        <w:t xml:space="preserve">is to find </w:t>
      </w:r>
      <w:r w:rsidR="0055797F" w:rsidRPr="00EC4BFC">
        <w:rPr>
          <w:rStyle w:val="Hyperlink"/>
          <w:rFonts w:ascii="Times New Roman" w:hAnsi="Times New Roman" w:cs="Times New Roman"/>
          <w:color w:val="auto"/>
          <w:sz w:val="24"/>
          <w:szCs w:val="24"/>
          <w:u w:val="none"/>
        </w:rPr>
        <w:t>the maximum margin hyperplane (MMH). Th</w:t>
      </w:r>
      <w:r w:rsidR="002C4016">
        <w:rPr>
          <w:rStyle w:val="Hyperlink"/>
          <w:rFonts w:ascii="Times New Roman" w:hAnsi="Times New Roman" w:cs="Times New Roman"/>
          <w:color w:val="auto"/>
          <w:sz w:val="24"/>
          <w:szCs w:val="24"/>
          <w:u w:val="none"/>
        </w:rPr>
        <w:t>is</w:t>
      </w:r>
      <w:r w:rsidR="0055797F" w:rsidRPr="00EC4BFC">
        <w:rPr>
          <w:rStyle w:val="Hyperlink"/>
          <w:rFonts w:ascii="Times New Roman" w:hAnsi="Times New Roman" w:cs="Times New Roman"/>
          <w:color w:val="auto"/>
          <w:sz w:val="24"/>
          <w:szCs w:val="24"/>
          <w:u w:val="none"/>
        </w:rPr>
        <w:t xml:space="preserve"> is the hyperplane that has the greatest separation between </w:t>
      </w:r>
      <w:r w:rsidR="0055797F">
        <w:rPr>
          <w:rStyle w:val="Hyperlink"/>
          <w:rFonts w:ascii="Times New Roman" w:hAnsi="Times New Roman" w:cs="Times New Roman"/>
          <w:color w:val="auto"/>
          <w:sz w:val="24"/>
          <w:szCs w:val="24"/>
          <w:u w:val="none"/>
        </w:rPr>
        <w:t>the</w:t>
      </w:r>
      <w:r w:rsidR="0055797F" w:rsidRPr="00EC4BFC">
        <w:rPr>
          <w:rStyle w:val="Hyperlink"/>
          <w:rFonts w:ascii="Times New Roman" w:hAnsi="Times New Roman" w:cs="Times New Roman"/>
          <w:color w:val="auto"/>
          <w:sz w:val="24"/>
          <w:szCs w:val="24"/>
          <w:u w:val="none"/>
        </w:rPr>
        <w:t xml:space="preserve"> groups</w:t>
      </w:r>
      <w:r w:rsidR="0055797F">
        <w:rPr>
          <w:rStyle w:val="Hyperlink"/>
          <w:rFonts w:ascii="Times New Roman" w:hAnsi="Times New Roman" w:cs="Times New Roman"/>
          <w:color w:val="auto"/>
          <w:sz w:val="24"/>
          <w:szCs w:val="24"/>
          <w:u w:val="none"/>
        </w:rPr>
        <w:t xml:space="preserve"> of data</w:t>
      </w:r>
      <w:r w:rsidR="0055797F" w:rsidRPr="00EC4BFC">
        <w:rPr>
          <w:rStyle w:val="Hyperlink"/>
          <w:rFonts w:ascii="Times New Roman" w:hAnsi="Times New Roman" w:cs="Times New Roman"/>
          <w:color w:val="auto"/>
          <w:sz w:val="24"/>
          <w:szCs w:val="24"/>
          <w:u w:val="none"/>
        </w:rPr>
        <w:t xml:space="preserve">. </w:t>
      </w:r>
      <w:r w:rsidR="00337434">
        <w:rPr>
          <w:rStyle w:val="Hyperlink"/>
          <w:rFonts w:ascii="Times New Roman" w:hAnsi="Times New Roman" w:cs="Times New Roman"/>
          <w:color w:val="auto"/>
          <w:sz w:val="24"/>
          <w:szCs w:val="24"/>
          <w:u w:val="none"/>
        </w:rPr>
        <w:t>T</w:t>
      </w:r>
      <w:r w:rsidR="0055797F" w:rsidRPr="00EC4BFC">
        <w:rPr>
          <w:rStyle w:val="Hyperlink"/>
          <w:rFonts w:ascii="Times New Roman" w:hAnsi="Times New Roman" w:cs="Times New Roman"/>
          <w:color w:val="auto"/>
          <w:sz w:val="24"/>
          <w:szCs w:val="24"/>
          <w:u w:val="none"/>
        </w:rPr>
        <w:t xml:space="preserve">he points </w:t>
      </w:r>
      <w:r w:rsidR="00337434">
        <w:rPr>
          <w:rStyle w:val="Hyperlink"/>
          <w:rFonts w:ascii="Times New Roman" w:hAnsi="Times New Roman" w:cs="Times New Roman"/>
          <w:color w:val="auto"/>
          <w:sz w:val="24"/>
          <w:szCs w:val="24"/>
          <w:u w:val="none"/>
        </w:rPr>
        <w:t xml:space="preserve">that are closest to the MMH are the </w:t>
      </w:r>
      <w:r w:rsidR="00337434" w:rsidRPr="00EC4BFC">
        <w:rPr>
          <w:rStyle w:val="Hyperlink"/>
          <w:rFonts w:ascii="Times New Roman" w:hAnsi="Times New Roman" w:cs="Times New Roman"/>
          <w:color w:val="auto"/>
          <w:sz w:val="24"/>
          <w:szCs w:val="24"/>
          <w:u w:val="none"/>
        </w:rPr>
        <w:t>support vectors</w:t>
      </w:r>
      <w:r w:rsidR="0055797F" w:rsidRPr="00EC4BFC">
        <w:rPr>
          <w:rStyle w:val="Hyperlink"/>
          <w:rFonts w:ascii="Times New Roman" w:hAnsi="Times New Roman" w:cs="Times New Roman"/>
          <w:color w:val="auto"/>
          <w:sz w:val="24"/>
          <w:szCs w:val="24"/>
          <w:u w:val="none"/>
        </w:rPr>
        <w:t xml:space="preserve">. </w:t>
      </w:r>
      <w:r w:rsidR="00DC42EE">
        <w:rPr>
          <w:rStyle w:val="Hyperlink"/>
          <w:rFonts w:ascii="Times New Roman" w:hAnsi="Times New Roman" w:cs="Times New Roman"/>
          <w:color w:val="auto"/>
          <w:sz w:val="24"/>
          <w:szCs w:val="24"/>
          <w:u w:val="none"/>
        </w:rPr>
        <w:t>F</w:t>
      </w:r>
      <w:r>
        <w:rPr>
          <w:rStyle w:val="Hyperlink"/>
          <w:rFonts w:ascii="Times New Roman" w:hAnsi="Times New Roman" w:cs="Times New Roman"/>
          <w:color w:val="auto"/>
          <w:sz w:val="24"/>
          <w:szCs w:val="24"/>
          <w:u w:val="none"/>
        </w:rPr>
        <w:t>or linearly separable data</w:t>
      </w:r>
      <w:r w:rsidR="00DC42EE">
        <w:rPr>
          <w:rStyle w:val="Hyperlink"/>
          <w:rFonts w:ascii="Times New Roman" w:hAnsi="Times New Roman" w:cs="Times New Roman"/>
          <w:color w:val="auto"/>
          <w:sz w:val="24"/>
          <w:szCs w:val="24"/>
          <w:u w:val="none"/>
        </w:rPr>
        <w:t xml:space="preserve"> t</w:t>
      </w:r>
      <w:r w:rsidR="00DC42EE" w:rsidRPr="00EC4BFC">
        <w:rPr>
          <w:rStyle w:val="Hyperlink"/>
          <w:rFonts w:ascii="Times New Roman" w:hAnsi="Times New Roman" w:cs="Times New Roman"/>
          <w:color w:val="auto"/>
          <w:sz w:val="24"/>
          <w:szCs w:val="24"/>
          <w:u w:val="none"/>
        </w:rPr>
        <w:t>he support vectors can be found</w:t>
      </w:r>
      <w:r w:rsidR="00DC42EE">
        <w:rPr>
          <w:rStyle w:val="Hyperlink"/>
          <w:rFonts w:ascii="Times New Roman" w:hAnsi="Times New Roman" w:cs="Times New Roman"/>
          <w:color w:val="auto"/>
          <w:sz w:val="24"/>
          <w:szCs w:val="24"/>
          <w:u w:val="none"/>
        </w:rPr>
        <w:t xml:space="preserve"> </w:t>
      </w:r>
      <w:r w:rsidR="00DC42EE" w:rsidRPr="00EC4BFC">
        <w:rPr>
          <w:rStyle w:val="Hyperlink"/>
          <w:rFonts w:ascii="Times New Roman" w:hAnsi="Times New Roman" w:cs="Times New Roman"/>
          <w:color w:val="auto"/>
          <w:sz w:val="24"/>
          <w:szCs w:val="24"/>
          <w:u w:val="none"/>
        </w:rPr>
        <w:t>easily</w:t>
      </w:r>
      <w:r w:rsidR="0055797F" w:rsidRPr="00EC4BFC">
        <w:rPr>
          <w:rStyle w:val="Hyperlink"/>
          <w:rFonts w:ascii="Times New Roman" w:hAnsi="Times New Roman" w:cs="Times New Roman"/>
          <w:color w:val="auto"/>
          <w:sz w:val="24"/>
          <w:szCs w:val="24"/>
          <w:u w:val="none"/>
        </w:rPr>
        <w:t xml:space="preserve">. For more complex problems </w:t>
      </w:r>
      <w:r w:rsidR="0055797F">
        <w:rPr>
          <w:rStyle w:val="Hyperlink"/>
          <w:rFonts w:ascii="Times New Roman" w:hAnsi="Times New Roman" w:cs="Times New Roman"/>
          <w:color w:val="auto"/>
          <w:sz w:val="24"/>
          <w:szCs w:val="24"/>
          <w:u w:val="none"/>
        </w:rPr>
        <w:t xml:space="preserve">the support vectors can be found by using </w:t>
      </w:r>
      <w:r w:rsidR="0055797F" w:rsidRPr="00EC4BFC">
        <w:rPr>
          <w:rStyle w:val="Hyperlink"/>
          <w:rFonts w:ascii="Times New Roman" w:hAnsi="Times New Roman" w:cs="Times New Roman"/>
          <w:color w:val="auto"/>
          <w:sz w:val="24"/>
          <w:szCs w:val="24"/>
          <w:u w:val="none"/>
        </w:rPr>
        <w:t xml:space="preserve">advanced vector geometry. </w:t>
      </w:r>
      <w:r w:rsidR="00337434">
        <w:rPr>
          <w:rStyle w:val="Hyperlink"/>
          <w:rFonts w:ascii="Times New Roman" w:hAnsi="Times New Roman" w:cs="Times New Roman"/>
          <w:color w:val="auto"/>
          <w:sz w:val="24"/>
          <w:szCs w:val="24"/>
          <w:u w:val="none"/>
        </w:rPr>
        <w:t xml:space="preserve">Kernels can be used to </w:t>
      </w:r>
      <w:r w:rsidR="0055797F">
        <w:rPr>
          <w:rStyle w:val="Hyperlink"/>
          <w:rFonts w:ascii="Times New Roman" w:hAnsi="Times New Roman" w:cs="Times New Roman"/>
          <w:color w:val="auto"/>
          <w:sz w:val="24"/>
          <w:szCs w:val="24"/>
          <w:u w:val="none"/>
        </w:rPr>
        <w:t>map</w:t>
      </w:r>
      <w:r w:rsidR="00337434">
        <w:rPr>
          <w:rStyle w:val="Hyperlink"/>
          <w:rFonts w:ascii="Times New Roman" w:hAnsi="Times New Roman" w:cs="Times New Roman"/>
          <w:color w:val="auto"/>
          <w:sz w:val="24"/>
          <w:szCs w:val="24"/>
          <w:u w:val="none"/>
        </w:rPr>
        <w:t xml:space="preserve"> the data</w:t>
      </w:r>
      <w:r w:rsidR="0055797F">
        <w:rPr>
          <w:rStyle w:val="Hyperlink"/>
          <w:rFonts w:ascii="Times New Roman" w:hAnsi="Times New Roman" w:cs="Times New Roman"/>
          <w:color w:val="auto"/>
          <w:sz w:val="24"/>
          <w:szCs w:val="24"/>
          <w:u w:val="none"/>
        </w:rPr>
        <w:t xml:space="preserve"> </w:t>
      </w:r>
      <w:r w:rsidR="0055797F" w:rsidRPr="00EC4BFC">
        <w:rPr>
          <w:rStyle w:val="Hyperlink"/>
          <w:rFonts w:ascii="Times New Roman" w:hAnsi="Times New Roman" w:cs="Times New Roman"/>
          <w:color w:val="auto"/>
          <w:sz w:val="24"/>
          <w:szCs w:val="24"/>
          <w:u w:val="none"/>
        </w:rPr>
        <w:t xml:space="preserve">into higher dimensionally space. </w:t>
      </w:r>
      <w:r>
        <w:rPr>
          <w:rStyle w:val="Hyperlink"/>
          <w:rFonts w:ascii="Times New Roman" w:hAnsi="Times New Roman" w:cs="Times New Roman"/>
          <w:color w:val="auto"/>
          <w:sz w:val="24"/>
          <w:szCs w:val="24"/>
          <w:u w:val="none"/>
        </w:rPr>
        <w:t>M</w:t>
      </w:r>
      <w:r w:rsidR="0055797F">
        <w:rPr>
          <w:rStyle w:val="Hyperlink"/>
          <w:rFonts w:ascii="Times New Roman" w:hAnsi="Times New Roman" w:cs="Times New Roman"/>
          <w:color w:val="auto"/>
          <w:sz w:val="24"/>
          <w:szCs w:val="24"/>
          <w:u w:val="none"/>
        </w:rPr>
        <w:t>apping</w:t>
      </w:r>
      <w:r w:rsidR="00337434">
        <w:rPr>
          <w:rStyle w:val="Hyperlink"/>
          <w:rFonts w:ascii="Times New Roman" w:hAnsi="Times New Roman" w:cs="Times New Roman"/>
          <w:color w:val="auto"/>
          <w:sz w:val="24"/>
          <w:szCs w:val="24"/>
          <w:u w:val="none"/>
        </w:rPr>
        <w:t xml:space="preserve"> the data</w:t>
      </w:r>
      <w:r w:rsidR="0055797F" w:rsidRPr="00EC4BFC">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 xml:space="preserve">into higher dimensional space creates the possibility </w:t>
      </w:r>
      <w:r w:rsidR="0055797F" w:rsidRPr="00EC4BFC">
        <w:rPr>
          <w:rStyle w:val="Hyperlink"/>
          <w:rFonts w:ascii="Times New Roman" w:hAnsi="Times New Roman" w:cs="Times New Roman"/>
          <w:color w:val="auto"/>
          <w:sz w:val="24"/>
          <w:szCs w:val="24"/>
          <w:u w:val="none"/>
        </w:rPr>
        <w:t xml:space="preserve">that a nonlinear relationship </w:t>
      </w:r>
      <w:r>
        <w:rPr>
          <w:rStyle w:val="Hyperlink"/>
          <w:rFonts w:ascii="Times New Roman" w:hAnsi="Times New Roman" w:cs="Times New Roman"/>
          <w:color w:val="auto"/>
          <w:sz w:val="24"/>
          <w:szCs w:val="24"/>
          <w:u w:val="none"/>
        </w:rPr>
        <w:t xml:space="preserve">in a specific dimension </w:t>
      </w:r>
      <w:r w:rsidR="0055797F" w:rsidRPr="00EC4BFC">
        <w:rPr>
          <w:rStyle w:val="Hyperlink"/>
          <w:rFonts w:ascii="Times New Roman" w:hAnsi="Times New Roman" w:cs="Times New Roman"/>
          <w:color w:val="auto"/>
          <w:sz w:val="24"/>
          <w:szCs w:val="24"/>
          <w:u w:val="none"/>
        </w:rPr>
        <w:t xml:space="preserve">may </w:t>
      </w:r>
      <w:r w:rsidR="002C4016">
        <w:rPr>
          <w:rStyle w:val="Hyperlink"/>
          <w:rFonts w:ascii="Times New Roman" w:hAnsi="Times New Roman" w:cs="Times New Roman"/>
          <w:color w:val="auto"/>
          <w:sz w:val="24"/>
          <w:szCs w:val="24"/>
          <w:u w:val="none"/>
        </w:rPr>
        <w:t>become</w:t>
      </w:r>
      <w:r w:rsidR="0055797F" w:rsidRPr="00EC4BFC">
        <w:rPr>
          <w:rStyle w:val="Hyperlink"/>
          <w:rFonts w:ascii="Times New Roman" w:hAnsi="Times New Roman" w:cs="Times New Roman"/>
          <w:color w:val="auto"/>
          <w:sz w:val="24"/>
          <w:szCs w:val="24"/>
          <w:u w:val="none"/>
        </w:rPr>
        <w:t xml:space="preserve"> linear in higher dimensional space.   </w:t>
      </w:r>
    </w:p>
    <w:p w14:paraId="07F8DBCF" w14:textId="6251B3F6" w:rsidR="0055797F" w:rsidRDefault="0055797F" w:rsidP="0055797F">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lastRenderedPageBreak/>
        <w:t xml:space="preserve">Two </w:t>
      </w:r>
      <w:r w:rsidR="00057A06">
        <w:rPr>
          <w:rFonts w:ascii="Times New Roman" w:hAnsi="Times New Roman" w:cs="Times New Roman"/>
          <w:sz w:val="24"/>
          <w:szCs w:val="24"/>
          <w:lang w:bidi="en-US"/>
        </w:rPr>
        <w:t xml:space="preserve">classification </w:t>
      </w:r>
      <w:r>
        <w:rPr>
          <w:rFonts w:ascii="Times New Roman" w:hAnsi="Times New Roman" w:cs="Times New Roman"/>
          <w:sz w:val="24"/>
          <w:szCs w:val="24"/>
          <w:lang w:bidi="en-US"/>
        </w:rPr>
        <w:t>methods, Naïve Bayes and Lasso are included as benchmarks</w:t>
      </w:r>
      <w:r w:rsidR="00611F47">
        <w:rPr>
          <w:rFonts w:ascii="Times New Roman" w:hAnsi="Times New Roman" w:cs="Times New Roman"/>
          <w:sz w:val="24"/>
          <w:szCs w:val="24"/>
          <w:lang w:bidi="en-US"/>
        </w:rPr>
        <w:t xml:space="preserve"> </w:t>
      </w:r>
      <w:r w:rsidR="00611F47" w:rsidRPr="006E2AFE">
        <w:rPr>
          <w:rFonts w:ascii="Times New Roman" w:hAnsi="Times New Roman" w:cs="Times New Roman"/>
          <w:sz w:val="24"/>
          <w:szCs w:val="24"/>
          <w:lang w:bidi="en-US"/>
        </w:rPr>
        <w:fldChar w:fldCharType="begin"/>
      </w:r>
      <w:r w:rsidR="00611F47">
        <w:rPr>
          <w:rFonts w:ascii="Times New Roman" w:hAnsi="Times New Roman" w:cs="Times New Roman"/>
          <w:sz w:val="24"/>
          <w:szCs w:val="24"/>
          <w:lang w:bidi="en-US"/>
        </w:rPr>
        <w:instrText xml:space="preserve"> ADDIN ZOTERO_ITEM CSL_CITATION {"citationID":"wlaK3Xiv","properties":{"formattedCitation":"(James et al., 2013)","plainCitation":"(James et al., 2013)","noteIndex":0},"citationItems":[{"id":1681,"uris":["http://zotero.org/users/5823779/items/UVPPFRTW"],"itemData":{"id":1681,"type":"book","abstract":"An Introduction to Statistical Learning provides an accessible overview of the field of statistical learning, an essential toolset for making sense of the vast and complex data sets that have emerged in fields ranging from biology to finance to marketing to astrophysics in the past twenty years. This book presents some of the most important modeling and prediction techniques, along with relevant applications. Topics include linear regression, classification, resampling methods, shrinkage approaches, tree-based methods, support vector machines, clustering, and more. Color graphics and real-world examples are used to illustrate the methods presented. Since the goal of this textbook is to facilitate the use of these statistical learning techniques by practitioners in science, industry, and other fields, each chapter contains a tutorial on implementing the analyses and methods presented in R, an extremely popular open source statistical software platform.Two of the authors co-wrote The Elements of Statistical Learning (Hastie, Tibshirani and Friedman, 2nd edition 2009), a popular reference book for statistics and machine learning researchers. An Introduction to Statistical Learning covers many of the same topics, but at a level accessible to a much broader audience. This book is targeted at statisticians and non-statisticians alike who wish to use cutting-edge statistical learning techniques to analyze their data. The text assumes only a previous course in linear regression and no knowledge of matrix algebra.","collection-title":"Springer Texts in Statistics","event-place":"New York","ISBN":"978-1-4614-7137-0","language":"en","note":"DOI: 10.1007/978-1-4614-7138-7","publisher":"Springer-Verlag","publisher-place":"New York","source":"www.springer.com","title":"An Introduction to Statistical Learning: with Applications in R","title-short":"An Introduction to Statistical Learning","URL":"https://www.springer.com/gp/book/9781461471370","author":[{"family":"James","given":"Gareth"},{"family":"Witten","given":"Daniela"},{"family":"Hastie","given":"Trevor"},{"family":"Tibshirani","given":"Robert"}],"accessed":{"date-parts":[["2020",7,5]]},"issued":{"date-parts":[["2013"]]}}}],"schema":"https://github.com/citation-style-language/schema/raw/master/csl-citation.json"} </w:instrText>
      </w:r>
      <w:r w:rsidR="00611F47" w:rsidRPr="006E2AFE">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(James et al., 2013)</w:t>
      </w:r>
      <w:r w:rsidR="00611F47" w:rsidRPr="006E2AFE">
        <w:rPr>
          <w:rFonts w:ascii="Times New Roman" w:hAnsi="Times New Roman" w:cs="Times New Roman"/>
          <w:sz w:val="24"/>
          <w:szCs w:val="24"/>
        </w:rPr>
        <w:fldChar w:fldCharType="end"/>
      </w:r>
      <w:r w:rsidR="00611F47">
        <w:rPr>
          <w:rFonts w:ascii="Times New Roman" w:hAnsi="Times New Roman" w:cs="Times New Roman"/>
          <w:sz w:val="24"/>
          <w:szCs w:val="24"/>
          <w:lang w:bidi="en-US"/>
        </w:rPr>
        <w:t>.</w:t>
      </w:r>
      <w:r>
        <w:rPr>
          <w:rFonts w:ascii="Times New Roman" w:hAnsi="Times New Roman" w:cs="Times New Roman"/>
          <w:sz w:val="24"/>
          <w:szCs w:val="24"/>
          <w:lang w:bidi="en-US"/>
        </w:rPr>
        <w:t xml:space="preserve"> </w:t>
      </w:r>
      <w:r w:rsidR="00057A06">
        <w:rPr>
          <w:rFonts w:ascii="Times New Roman" w:hAnsi="Times New Roman" w:cs="Times New Roman"/>
          <w:sz w:val="24"/>
          <w:szCs w:val="24"/>
          <w:lang w:bidi="en-US"/>
        </w:rPr>
        <w:t>M</w:t>
      </w:r>
      <w:r w:rsidR="00611F47">
        <w:rPr>
          <w:rFonts w:ascii="Times New Roman" w:hAnsi="Times New Roman" w:cs="Times New Roman"/>
          <w:sz w:val="24"/>
          <w:szCs w:val="24"/>
          <w:lang w:bidi="en-US"/>
        </w:rPr>
        <w:t xml:space="preserve">odelling </w:t>
      </w:r>
      <w:r>
        <w:rPr>
          <w:rFonts w:ascii="Times New Roman" w:hAnsi="Times New Roman" w:cs="Times New Roman"/>
          <w:sz w:val="24"/>
          <w:szCs w:val="24"/>
          <w:lang w:bidi="en-US"/>
        </w:rPr>
        <w:t>stock price direction</w:t>
      </w:r>
      <w:r w:rsidR="00057A06">
        <w:rPr>
          <w:rFonts w:ascii="Times New Roman" w:hAnsi="Times New Roman" w:cs="Times New Roman"/>
          <w:sz w:val="24"/>
          <w:szCs w:val="24"/>
          <w:lang w:bidi="en-US"/>
        </w:rPr>
        <w:t xml:space="preserve"> is a classification problem because </w:t>
      </w:r>
      <w:r>
        <w:rPr>
          <w:rFonts w:ascii="Times New Roman" w:hAnsi="Times New Roman" w:cs="Times New Roman"/>
          <w:sz w:val="24"/>
          <w:szCs w:val="24"/>
          <w:lang w:bidi="en-US"/>
        </w:rPr>
        <w:t>t</w:t>
      </w:r>
      <w:r w:rsidRPr="006E2AFE">
        <w:rPr>
          <w:rFonts w:ascii="Times New Roman" w:hAnsi="Times New Roman" w:cs="Times New Roman"/>
          <w:sz w:val="24"/>
          <w:szCs w:val="24"/>
          <w:lang w:bidi="en-US"/>
        </w:rPr>
        <w:t xml:space="preserve">he direction of stock price change can be classified as </w:t>
      </w:r>
      <w:r>
        <w:rPr>
          <w:rFonts w:ascii="Times New Roman" w:hAnsi="Times New Roman" w:cs="Times New Roman"/>
          <w:sz w:val="24"/>
          <w:szCs w:val="24"/>
          <w:lang w:bidi="en-US"/>
        </w:rPr>
        <w:t>a binary</w:t>
      </w:r>
      <w:r w:rsidR="003F136A">
        <w:rPr>
          <w:rFonts w:ascii="Times New Roman" w:hAnsi="Times New Roman" w:cs="Times New Roman"/>
          <w:sz w:val="24"/>
          <w:szCs w:val="24"/>
          <w:lang w:bidi="en-US"/>
        </w:rPr>
        <w:t xml:space="preserve"> variable. </w:t>
      </w:r>
      <w:r>
        <w:rPr>
          <w:rFonts w:ascii="Times New Roman" w:hAnsi="Times New Roman" w:cs="Times New Roman"/>
          <w:sz w:val="24"/>
          <w:szCs w:val="24"/>
          <w:lang w:bidi="en-US"/>
        </w:rPr>
        <w:t xml:space="preserve"> </w:t>
      </w:r>
      <w:r w:rsidR="003F136A">
        <w:rPr>
          <w:rFonts w:ascii="Times New Roman" w:hAnsi="Times New Roman" w:cs="Times New Roman"/>
          <w:sz w:val="24"/>
          <w:szCs w:val="24"/>
          <w:lang w:bidi="en-US"/>
        </w:rPr>
        <w:t>S</w:t>
      </w:r>
      <w:r w:rsidRPr="006E2AFE">
        <w:rPr>
          <w:rFonts w:ascii="Times New Roman" w:hAnsi="Times New Roman" w:cs="Times New Roman"/>
          <w:sz w:val="24"/>
          <w:szCs w:val="24"/>
          <w:lang w:bidi="en-US"/>
        </w:rPr>
        <w:t xml:space="preserve">tock price change from one period to the next </w:t>
      </w:r>
      <w:r w:rsidR="003F136A">
        <w:rPr>
          <w:rFonts w:ascii="Times New Roman" w:hAnsi="Times New Roman" w:cs="Times New Roman"/>
          <w:sz w:val="24"/>
          <w:szCs w:val="24"/>
          <w:lang w:bidi="en-US"/>
        </w:rPr>
        <w:t xml:space="preserve">can be classified as either </w:t>
      </w:r>
      <w:r w:rsidRPr="006E2AFE">
        <w:rPr>
          <w:rFonts w:ascii="Times New Roman" w:hAnsi="Times New Roman" w:cs="Times New Roman"/>
          <w:sz w:val="24"/>
          <w:szCs w:val="24"/>
          <w:lang w:bidi="en-US"/>
        </w:rPr>
        <w:t xml:space="preserve">positive or </w:t>
      </w:r>
      <w:r>
        <w:rPr>
          <w:rFonts w:ascii="Times New Roman" w:hAnsi="Times New Roman" w:cs="Times New Roman"/>
          <w:sz w:val="24"/>
          <w:szCs w:val="24"/>
          <w:lang w:bidi="en-US"/>
        </w:rPr>
        <w:t>non-positive</w:t>
      </w:r>
      <w:r w:rsidR="003F136A">
        <w:rPr>
          <w:rFonts w:ascii="Times New Roman" w:hAnsi="Times New Roman" w:cs="Times New Roman"/>
          <w:sz w:val="24"/>
          <w:szCs w:val="24"/>
          <w:lang w:bidi="en-US"/>
        </w:rPr>
        <w:t>.</w:t>
      </w:r>
      <w:r w:rsidRPr="006E2AFE">
        <w:rPr>
          <w:rFonts w:ascii="Times New Roman" w:hAnsi="Times New Roman" w:cs="Times New Roman"/>
          <w:sz w:val="24"/>
          <w:szCs w:val="24"/>
          <w:lang w:bidi="en-US"/>
        </w:rPr>
        <w:t xml:space="preserve">  </w:t>
      </w:r>
      <w:r>
        <w:rPr>
          <w:rFonts w:ascii="Times New Roman" w:hAnsi="Times New Roman" w:cs="Times New Roman"/>
          <w:sz w:val="24"/>
          <w:szCs w:val="24"/>
          <w:lang w:bidi="en-US"/>
        </w:rPr>
        <w:t xml:space="preserve">The Naïve Bayes classifier uses Bayes theorem to make predictions. </w:t>
      </w:r>
    </w:p>
    <w:p w14:paraId="03FF708A" w14:textId="0E01B6F5" w:rsidR="0055797F" w:rsidRDefault="0055797F" w:rsidP="00FE6626">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The least absolute shrinkage and selection operator (</w:t>
      </w:r>
      <w:r w:rsidR="005D4FA0">
        <w:rPr>
          <w:rFonts w:ascii="Times New Roman" w:hAnsi="Times New Roman" w:cs="Times New Roman"/>
          <w:sz w:val="24"/>
          <w:szCs w:val="24"/>
          <w:lang w:bidi="en-US"/>
        </w:rPr>
        <w:t>Lasso</w:t>
      </w:r>
      <w:r>
        <w:rPr>
          <w:rFonts w:ascii="Times New Roman" w:hAnsi="Times New Roman" w:cs="Times New Roman"/>
          <w:sz w:val="24"/>
          <w:szCs w:val="24"/>
          <w:lang w:bidi="en-US"/>
        </w:rPr>
        <w:t xml:space="preserve">) is </w:t>
      </w:r>
      <w:r w:rsidR="003F136A">
        <w:rPr>
          <w:rFonts w:ascii="Times New Roman" w:hAnsi="Times New Roman" w:cs="Times New Roman"/>
          <w:sz w:val="24"/>
          <w:szCs w:val="24"/>
          <w:lang w:bidi="en-US"/>
        </w:rPr>
        <w:t>like</w:t>
      </w:r>
      <w:r>
        <w:rPr>
          <w:rFonts w:ascii="Times New Roman" w:hAnsi="Times New Roman" w:cs="Times New Roman"/>
          <w:sz w:val="24"/>
          <w:szCs w:val="24"/>
          <w:lang w:bidi="en-US"/>
        </w:rPr>
        <w:t xml:space="preserve"> ridge regression </w:t>
      </w:r>
      <w:r w:rsidRPr="006E2AFE">
        <w:rPr>
          <w:rFonts w:ascii="Times New Roman" w:hAnsi="Times New Roman" w:cs="Times New Roman"/>
          <w:sz w:val="24"/>
          <w:szCs w:val="24"/>
          <w:lang w:bidi="en-US"/>
        </w:rPr>
        <w:fldChar w:fldCharType="begin"/>
      </w:r>
      <w:r>
        <w:rPr>
          <w:rFonts w:ascii="Times New Roman" w:hAnsi="Times New Roman" w:cs="Times New Roman"/>
          <w:sz w:val="24"/>
          <w:szCs w:val="24"/>
          <w:lang w:bidi="en-US"/>
        </w:rPr>
        <w:instrText xml:space="preserve"> ADDIN ZOTERO_ITEM CSL_CITATION {"citationID":"q7HwG84j","properties":{"formattedCitation":"(James et al., 2013)","plainCitation":"(James et al., 2013)","noteIndex":0},"citationItems":[{"id":1681,"uris":["http://zotero.org/users/5823779/items/UVPPFRTW"],"itemData":{"id":1681,"type":"book","abstract":"An Introduction to Statistical Learning provides an accessible overview of the field of statistical learning, an essential toolset for making sense of the vast and complex data sets that have emerged in fields ranging from biology to finance to marketing to astrophysics in the past twenty years. This book presents some of the most important modeling and prediction techniques, along with relevant applications. Topics include linear regression, classification, resampling methods, shrinkage approaches, tree-based methods, support vector machines, clustering, and more. Color graphics and real-world examples are used to illustrate the methods presented. Since the goal of this textbook is to facilitate the use of these statistical learning techniques by practitioners in science, industry, and other fields, each chapter contains a tutorial on implementing the analyses and methods presented in R, an extremely popular open source statistical software platform.Two of the authors co-wrote The Elements of Statistical Learning (Hastie, Tibshirani and Friedman, 2nd edition 2009), a popular reference book for statistics and machine learning researchers. An Introduction to Statistical Learning covers many of the same topics, but at a level accessible to a much broader audience. This book is targeted at statisticians and non-statisticians alike who wish to use cutting-edge statistical learning techniques to analyze their data. The text assumes only a previous course in linear regression and no knowledge of matrix algebra.","collection-title":"Springer Texts in Statistics","event-place":"New York","ISBN":"978-1-4614-7137-0","language":"en","note":"DOI: 10.1007/978-1-4614-7138-7","publisher":"Springer-Verlag","publisher-place":"New York","source":"www.springer.com","title":"An Introduction to Statistical Learning: with Applications in R","title-short":"An Introduction to Statistical Learning","URL":"https://www.springer.com/gp/book/9781461471370","author":[{"family":"James","given":"Gareth"},{"family":"Witten","given":"Daniela"},{"family":"Hastie","given":"Trevor"},{"family":"Tibshirani","given":"Robert"}],"accessed":{"date-parts":[["2020",7,5]]},"issued":{"date-parts":[["2013"]]}}}],"schema":"https://github.com/citation-style-language/schema/raw/master/csl-citation.json"} </w:instrText>
      </w:r>
      <w:r w:rsidRPr="006E2AFE">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(James et al., 2013)</w:t>
      </w:r>
      <w:r w:rsidRPr="006E2AFE">
        <w:rPr>
          <w:rFonts w:ascii="Times New Roman" w:hAnsi="Times New Roman" w:cs="Times New Roman"/>
          <w:sz w:val="24"/>
          <w:szCs w:val="24"/>
        </w:rPr>
        <w:fldChar w:fldCharType="end"/>
      </w:r>
      <w:r>
        <w:rPr>
          <w:rFonts w:ascii="Times New Roman" w:hAnsi="Times New Roman" w:cs="Times New Roman"/>
          <w:sz w:val="24"/>
          <w:szCs w:val="24"/>
          <w:lang w:bidi="en-US"/>
        </w:rPr>
        <w:t xml:space="preserve">. Whereas ridge regression shrinks parameter estimates down to small but non-zero values, </w:t>
      </w:r>
      <w:r w:rsidR="005D4FA0">
        <w:rPr>
          <w:rFonts w:ascii="Times New Roman" w:hAnsi="Times New Roman" w:cs="Times New Roman"/>
          <w:sz w:val="24"/>
          <w:szCs w:val="24"/>
          <w:lang w:bidi="en-US"/>
        </w:rPr>
        <w:t>Lasso</w:t>
      </w:r>
      <w:r>
        <w:rPr>
          <w:rFonts w:ascii="Times New Roman" w:hAnsi="Times New Roman" w:cs="Times New Roman"/>
          <w:sz w:val="24"/>
          <w:szCs w:val="24"/>
          <w:lang w:bidi="en-US"/>
        </w:rPr>
        <w:t xml:space="preserve"> may set parameter values equal to zero which results in a sparse model. </w:t>
      </w:r>
    </w:p>
    <w:p w14:paraId="4814E770" w14:textId="6C89C02C" w:rsidR="006E2AFE" w:rsidRPr="006E2AFE" w:rsidRDefault="005164AC" w:rsidP="006E2AFE">
      <w:pPr>
        <w:spacing w:after="0" w:line="480" w:lineRule="auto"/>
        <w:ind w:firstLine="720"/>
        <w:rPr>
          <w:rFonts w:ascii="Times New Roman" w:hAnsi="Times New Roman" w:cs="Times New Roman"/>
          <w:i/>
          <w:sz w:val="24"/>
          <w:szCs w:val="24"/>
          <w:lang w:bidi="en-US"/>
        </w:rPr>
      </w:pPr>
      <w:r>
        <w:rPr>
          <w:rFonts w:ascii="Times New Roman" w:hAnsi="Times New Roman" w:cs="Times New Roman"/>
          <w:i/>
          <w:sz w:val="24"/>
          <w:szCs w:val="24"/>
          <w:lang w:bidi="en-US"/>
        </w:rPr>
        <w:t>3</w:t>
      </w:r>
      <w:r w:rsidR="006E2AFE" w:rsidRPr="006E2AFE">
        <w:rPr>
          <w:rFonts w:ascii="Times New Roman" w:hAnsi="Times New Roman" w:cs="Times New Roman"/>
          <w:i/>
          <w:sz w:val="24"/>
          <w:szCs w:val="24"/>
          <w:lang w:bidi="en-US"/>
        </w:rPr>
        <w:t>.</w:t>
      </w:r>
      <w:r w:rsidR="00993AA4">
        <w:rPr>
          <w:rFonts w:ascii="Times New Roman" w:hAnsi="Times New Roman" w:cs="Times New Roman"/>
          <w:i/>
          <w:sz w:val="24"/>
          <w:szCs w:val="24"/>
          <w:lang w:bidi="en-US"/>
        </w:rPr>
        <w:t>2</w:t>
      </w:r>
      <w:r w:rsidR="006E2AFE" w:rsidRPr="006E2AFE">
        <w:rPr>
          <w:rFonts w:ascii="Times New Roman" w:hAnsi="Times New Roman" w:cs="Times New Roman"/>
          <w:i/>
          <w:sz w:val="24"/>
          <w:szCs w:val="24"/>
          <w:lang w:bidi="en-US"/>
        </w:rPr>
        <w:t xml:space="preserve">. </w:t>
      </w:r>
      <w:r w:rsidR="004406FA">
        <w:rPr>
          <w:rFonts w:ascii="Times New Roman" w:hAnsi="Times New Roman" w:cs="Times New Roman"/>
          <w:i/>
          <w:sz w:val="24"/>
          <w:szCs w:val="24"/>
          <w:lang w:bidi="en-US"/>
        </w:rPr>
        <w:t>S</w:t>
      </w:r>
      <w:r w:rsidR="006E2AFE" w:rsidRPr="006E2AFE">
        <w:rPr>
          <w:rFonts w:ascii="Times New Roman" w:hAnsi="Times New Roman" w:cs="Times New Roman"/>
          <w:i/>
          <w:sz w:val="24"/>
          <w:szCs w:val="24"/>
          <w:lang w:bidi="en-US"/>
        </w:rPr>
        <w:t>etup</w:t>
      </w:r>
      <w:r w:rsidR="004406FA">
        <w:rPr>
          <w:rFonts w:ascii="Times New Roman" w:hAnsi="Times New Roman" w:cs="Times New Roman"/>
          <w:i/>
          <w:sz w:val="24"/>
          <w:szCs w:val="24"/>
          <w:lang w:bidi="en-US"/>
        </w:rPr>
        <w:t xml:space="preserve"> of the models</w:t>
      </w:r>
    </w:p>
    <w:p w14:paraId="63DF86F6" w14:textId="6ABD4702" w:rsidR="00B905F4" w:rsidRPr="00831699" w:rsidRDefault="00611F47" w:rsidP="006E2AFE">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 xml:space="preserve">For each model, multi-step forecasts from one day to twenty days are produced. </w:t>
      </w:r>
      <w:r w:rsidR="003106B8">
        <w:rPr>
          <w:rFonts w:ascii="Times New Roman" w:hAnsi="Times New Roman" w:cs="Times New Roman"/>
          <w:sz w:val="24"/>
          <w:szCs w:val="24"/>
          <w:lang w:bidi="en-US"/>
        </w:rPr>
        <w:t xml:space="preserve">Twenty days is </w:t>
      </w:r>
      <w:r w:rsidR="00057A06">
        <w:rPr>
          <w:rFonts w:ascii="Times New Roman" w:hAnsi="Times New Roman" w:cs="Times New Roman"/>
          <w:sz w:val="24"/>
          <w:szCs w:val="24"/>
          <w:lang w:bidi="en-US"/>
        </w:rPr>
        <w:t>approximately</w:t>
      </w:r>
      <w:r w:rsidR="003106B8">
        <w:rPr>
          <w:rFonts w:ascii="Times New Roman" w:hAnsi="Times New Roman" w:cs="Times New Roman"/>
          <w:sz w:val="24"/>
          <w:szCs w:val="24"/>
          <w:lang w:bidi="en-US"/>
        </w:rPr>
        <w:t xml:space="preserve"> the average number of trading days in a month. </w:t>
      </w:r>
      <w:r w:rsidR="00264E0A">
        <w:rPr>
          <w:rFonts w:ascii="Times New Roman" w:hAnsi="Times New Roman" w:cs="Times New Roman"/>
          <w:sz w:val="24"/>
          <w:szCs w:val="24"/>
          <w:lang w:bidi="en-US"/>
        </w:rPr>
        <w:t>T</w:t>
      </w:r>
      <w:r w:rsidR="00B5619E">
        <w:rPr>
          <w:rFonts w:ascii="Times New Roman" w:hAnsi="Times New Roman" w:cs="Times New Roman"/>
          <w:sz w:val="24"/>
          <w:szCs w:val="24"/>
          <w:lang w:bidi="en-US"/>
        </w:rPr>
        <w:t>he data w</w:t>
      </w:r>
      <w:r w:rsidR="004B78CA">
        <w:rPr>
          <w:rFonts w:ascii="Times New Roman" w:hAnsi="Times New Roman" w:cs="Times New Roman"/>
          <w:sz w:val="24"/>
          <w:szCs w:val="24"/>
          <w:lang w:bidi="en-US"/>
        </w:rPr>
        <w:t>ere</w:t>
      </w:r>
      <w:r w:rsidR="00B5619E">
        <w:rPr>
          <w:rFonts w:ascii="Times New Roman" w:hAnsi="Times New Roman" w:cs="Times New Roman"/>
          <w:sz w:val="24"/>
          <w:szCs w:val="24"/>
          <w:lang w:bidi="en-US"/>
        </w:rPr>
        <w:t xml:space="preserve"> </w:t>
      </w:r>
      <w:r w:rsidR="00BB5107">
        <w:rPr>
          <w:rFonts w:ascii="Times New Roman" w:hAnsi="Times New Roman" w:cs="Times New Roman"/>
          <w:sz w:val="24"/>
          <w:szCs w:val="24"/>
          <w:lang w:bidi="en-US"/>
        </w:rPr>
        <w:t xml:space="preserve">randomly </w:t>
      </w:r>
      <w:r w:rsidR="00B5619E">
        <w:rPr>
          <w:rFonts w:ascii="Times New Roman" w:hAnsi="Times New Roman" w:cs="Times New Roman"/>
          <w:sz w:val="24"/>
          <w:szCs w:val="24"/>
          <w:lang w:bidi="en-US"/>
        </w:rPr>
        <w:t xml:space="preserve">split </w:t>
      </w:r>
      <w:r w:rsidR="004B78CA">
        <w:rPr>
          <w:rFonts w:ascii="Times New Roman" w:hAnsi="Times New Roman" w:cs="Times New Roman"/>
          <w:sz w:val="24"/>
          <w:szCs w:val="24"/>
          <w:lang w:bidi="en-US"/>
        </w:rPr>
        <w:t>into a training set consisting of</w:t>
      </w:r>
      <w:r w:rsidR="00B5619E">
        <w:rPr>
          <w:rFonts w:ascii="Times New Roman" w:hAnsi="Times New Roman" w:cs="Times New Roman"/>
          <w:sz w:val="24"/>
          <w:szCs w:val="24"/>
          <w:lang w:bidi="en-US"/>
        </w:rPr>
        <w:t xml:space="preserve"> </w:t>
      </w:r>
      <w:r w:rsidR="005637B6">
        <w:rPr>
          <w:rFonts w:ascii="Times New Roman" w:hAnsi="Times New Roman" w:cs="Times New Roman"/>
          <w:sz w:val="24"/>
          <w:szCs w:val="24"/>
          <w:lang w:bidi="en-US"/>
        </w:rPr>
        <w:t>7</w:t>
      </w:r>
      <w:r w:rsidR="006E2AFE" w:rsidRPr="006E2AFE">
        <w:rPr>
          <w:rFonts w:ascii="Times New Roman" w:hAnsi="Times New Roman" w:cs="Times New Roman"/>
          <w:sz w:val="24"/>
          <w:szCs w:val="24"/>
          <w:lang w:bidi="en-US"/>
        </w:rPr>
        <w:t xml:space="preserve">0% of the data </w:t>
      </w:r>
      <w:r w:rsidR="004B78CA">
        <w:rPr>
          <w:rFonts w:ascii="Times New Roman" w:hAnsi="Times New Roman" w:cs="Times New Roman"/>
          <w:sz w:val="24"/>
          <w:szCs w:val="24"/>
          <w:lang w:bidi="en-US"/>
        </w:rPr>
        <w:t xml:space="preserve">and a testing set consisting of </w:t>
      </w:r>
      <w:r w:rsidR="005637B6">
        <w:rPr>
          <w:rFonts w:ascii="Times New Roman" w:hAnsi="Times New Roman" w:cs="Times New Roman"/>
          <w:sz w:val="24"/>
          <w:szCs w:val="24"/>
          <w:lang w:bidi="en-US"/>
        </w:rPr>
        <w:t>3</w:t>
      </w:r>
      <w:r w:rsidR="006E2AFE" w:rsidRPr="006E2AFE">
        <w:rPr>
          <w:rFonts w:ascii="Times New Roman" w:hAnsi="Times New Roman" w:cs="Times New Roman"/>
          <w:sz w:val="24"/>
          <w:szCs w:val="24"/>
          <w:lang w:bidi="en-US"/>
        </w:rPr>
        <w:t xml:space="preserve">0% </w:t>
      </w:r>
      <w:r w:rsidR="004B78CA">
        <w:rPr>
          <w:rFonts w:ascii="Times New Roman" w:hAnsi="Times New Roman" w:cs="Times New Roman"/>
          <w:sz w:val="24"/>
          <w:szCs w:val="24"/>
          <w:lang w:bidi="en-US"/>
        </w:rPr>
        <w:t>of the data</w:t>
      </w:r>
      <w:r w:rsidR="006E2AFE" w:rsidRPr="006E2AFE">
        <w:rPr>
          <w:rFonts w:ascii="Times New Roman" w:hAnsi="Times New Roman" w:cs="Times New Roman"/>
          <w:sz w:val="24"/>
          <w:szCs w:val="24"/>
          <w:lang w:bidi="en-US"/>
        </w:rPr>
        <w:t xml:space="preserve">. </w:t>
      </w:r>
      <w:r w:rsidR="004B78CA">
        <w:rPr>
          <w:rFonts w:ascii="Times New Roman" w:hAnsi="Times New Roman" w:cs="Times New Roman"/>
          <w:sz w:val="24"/>
          <w:szCs w:val="24"/>
          <w:lang w:bidi="en-US"/>
        </w:rPr>
        <w:t>Five hundred trees were used to estimate t</w:t>
      </w:r>
      <w:r w:rsidR="006E2AFE" w:rsidRPr="006E2AFE">
        <w:rPr>
          <w:rFonts w:ascii="Times New Roman" w:hAnsi="Times New Roman" w:cs="Times New Roman"/>
          <w:sz w:val="24"/>
          <w:szCs w:val="24"/>
          <w:lang w:bidi="en-US"/>
        </w:rPr>
        <w:t>he random forests</w:t>
      </w:r>
      <w:r w:rsidR="0052690E">
        <w:rPr>
          <w:rFonts w:ascii="Times New Roman" w:hAnsi="Times New Roman" w:cs="Times New Roman"/>
          <w:sz w:val="24"/>
          <w:szCs w:val="24"/>
          <w:lang w:bidi="en-US"/>
        </w:rPr>
        <w:t xml:space="preserve"> and extremely randomized trees</w:t>
      </w:r>
      <w:r w:rsidR="004B78CA">
        <w:rPr>
          <w:rFonts w:ascii="Times New Roman" w:hAnsi="Times New Roman" w:cs="Times New Roman"/>
          <w:sz w:val="24"/>
          <w:szCs w:val="24"/>
          <w:lang w:bidi="en-US"/>
        </w:rPr>
        <w:t>. At each split the number of predictors was randomly chosen from t</w:t>
      </w:r>
      <w:r w:rsidR="006E2AFE" w:rsidRPr="006E2AFE">
        <w:rPr>
          <w:rFonts w:ascii="Times New Roman" w:hAnsi="Times New Roman" w:cs="Times New Roman"/>
          <w:sz w:val="24"/>
          <w:szCs w:val="24"/>
          <w:lang w:bidi="en-US"/>
        </w:rPr>
        <w:t xml:space="preserve">he square root of the </w:t>
      </w:r>
      <w:r w:rsidR="004B78CA">
        <w:rPr>
          <w:rFonts w:ascii="Times New Roman" w:hAnsi="Times New Roman" w:cs="Times New Roman"/>
          <w:sz w:val="24"/>
          <w:szCs w:val="24"/>
          <w:lang w:bidi="en-US"/>
        </w:rPr>
        <w:t xml:space="preserve">total </w:t>
      </w:r>
      <w:r w:rsidR="006E2AFE" w:rsidRPr="006E2AFE">
        <w:rPr>
          <w:rFonts w:ascii="Times New Roman" w:hAnsi="Times New Roman" w:cs="Times New Roman"/>
          <w:sz w:val="24"/>
          <w:szCs w:val="24"/>
          <w:lang w:bidi="en-US"/>
        </w:rPr>
        <w:t xml:space="preserve">number of features. </w:t>
      </w:r>
      <w:r w:rsidR="00A80F3A">
        <w:rPr>
          <w:rFonts w:ascii="Times New Roman" w:hAnsi="Times New Roman" w:cs="Times New Roman"/>
          <w:sz w:val="24"/>
          <w:szCs w:val="24"/>
          <w:lang w:bidi="en-US"/>
        </w:rPr>
        <w:t>The number of trees does not affect the prediction accuracy of r</w:t>
      </w:r>
      <w:r w:rsidR="003106B8">
        <w:rPr>
          <w:rFonts w:ascii="Times New Roman" w:hAnsi="Times New Roman" w:cs="Times New Roman"/>
          <w:sz w:val="24"/>
          <w:szCs w:val="24"/>
          <w:lang w:bidi="en-US"/>
        </w:rPr>
        <w:t>andom forest</w:t>
      </w:r>
      <w:r w:rsidR="006E2AFE" w:rsidRPr="006E2AFE">
        <w:rPr>
          <w:rFonts w:ascii="Times New Roman" w:hAnsi="Times New Roman" w:cs="Times New Roman"/>
          <w:sz w:val="24"/>
          <w:szCs w:val="24"/>
          <w:lang w:bidi="en-US"/>
        </w:rPr>
        <w:t xml:space="preserve">s </w:t>
      </w:r>
      <w:r w:rsidR="006E14FE">
        <w:rPr>
          <w:rFonts w:ascii="Times New Roman" w:hAnsi="Times New Roman" w:cs="Times New Roman"/>
          <w:sz w:val="24"/>
          <w:szCs w:val="24"/>
          <w:lang w:bidi="en-US"/>
        </w:rPr>
        <w:t>s</w:t>
      </w:r>
      <w:r w:rsidR="00A80F3A">
        <w:rPr>
          <w:rFonts w:ascii="Times New Roman" w:hAnsi="Times New Roman" w:cs="Times New Roman"/>
          <w:sz w:val="24"/>
          <w:szCs w:val="24"/>
          <w:lang w:bidi="en-US"/>
        </w:rPr>
        <w:t>o</w:t>
      </w:r>
      <w:r w:rsidR="006E14FE">
        <w:rPr>
          <w:rFonts w:ascii="Times New Roman" w:hAnsi="Times New Roman" w:cs="Times New Roman"/>
          <w:sz w:val="24"/>
          <w:szCs w:val="24"/>
          <w:lang w:bidi="en-US"/>
        </w:rPr>
        <w:t xml:space="preserve"> long as</w:t>
      </w:r>
      <w:r w:rsidR="006E2AFE" w:rsidRPr="006E2AFE">
        <w:rPr>
          <w:rFonts w:ascii="Times New Roman" w:hAnsi="Times New Roman" w:cs="Times New Roman"/>
          <w:sz w:val="24"/>
          <w:szCs w:val="24"/>
          <w:lang w:bidi="en-US"/>
        </w:rPr>
        <w:t xml:space="preserve"> a large enough number of trees are chosen</w:t>
      </w:r>
      <w:r w:rsidR="00A80F3A">
        <w:rPr>
          <w:rFonts w:ascii="Times New Roman" w:hAnsi="Times New Roman" w:cs="Times New Roman"/>
          <w:sz w:val="24"/>
          <w:szCs w:val="24"/>
          <w:lang w:bidi="en-US"/>
        </w:rPr>
        <w:t>. A</w:t>
      </w:r>
      <w:r w:rsidR="006E2AFE" w:rsidRPr="006E2AFE">
        <w:rPr>
          <w:rFonts w:ascii="Times New Roman" w:hAnsi="Times New Roman" w:cs="Times New Roman"/>
          <w:sz w:val="24"/>
          <w:szCs w:val="24"/>
          <w:lang w:bidi="en-US"/>
        </w:rPr>
        <w:t xml:space="preserve"> small number of trees</w:t>
      </w:r>
      <w:r w:rsidR="00A80F3A">
        <w:rPr>
          <w:rFonts w:ascii="Times New Roman" w:hAnsi="Times New Roman" w:cs="Times New Roman"/>
          <w:sz w:val="24"/>
          <w:szCs w:val="24"/>
          <w:lang w:bidi="en-US"/>
        </w:rPr>
        <w:t xml:space="preserve">, however, </w:t>
      </w:r>
      <w:r w:rsidR="006E2AFE" w:rsidRPr="006E2AFE">
        <w:rPr>
          <w:rFonts w:ascii="Times New Roman" w:hAnsi="Times New Roman" w:cs="Times New Roman"/>
          <w:sz w:val="24"/>
          <w:szCs w:val="24"/>
          <w:lang w:bidi="en-US"/>
        </w:rPr>
        <w:t xml:space="preserve">results in high test error. </w:t>
      </w:r>
      <w:r w:rsidR="00EA6BC3">
        <w:rPr>
          <w:rFonts w:ascii="Times New Roman" w:hAnsi="Times New Roman" w:cs="Times New Roman"/>
          <w:sz w:val="24"/>
          <w:szCs w:val="24"/>
          <w:lang w:bidi="en-US"/>
        </w:rPr>
        <w:t xml:space="preserve">In the case of </w:t>
      </w:r>
      <w:r w:rsidR="0013076F">
        <w:rPr>
          <w:rFonts w:ascii="Times New Roman" w:hAnsi="Times New Roman" w:cs="Times New Roman"/>
          <w:sz w:val="24"/>
          <w:szCs w:val="24"/>
          <w:lang w:bidi="en-US"/>
        </w:rPr>
        <w:t xml:space="preserve">a 20-day forecast for </w:t>
      </w:r>
      <w:r w:rsidR="006E14FE">
        <w:rPr>
          <w:rFonts w:ascii="Times New Roman" w:hAnsi="Times New Roman" w:cs="Times New Roman"/>
          <w:sz w:val="24"/>
          <w:szCs w:val="24"/>
          <w:lang w:bidi="en-US"/>
        </w:rPr>
        <w:t xml:space="preserve">the clean energy ETF </w:t>
      </w:r>
      <w:r w:rsidR="00EA6BC3">
        <w:rPr>
          <w:rFonts w:ascii="Times New Roman" w:hAnsi="Times New Roman" w:cs="Times New Roman"/>
          <w:sz w:val="24"/>
          <w:szCs w:val="24"/>
          <w:lang w:bidi="en-US"/>
        </w:rPr>
        <w:t>PBW, t</w:t>
      </w:r>
      <w:r w:rsidR="00EA6BC3">
        <w:rPr>
          <w:rFonts w:ascii="Times New Roman" w:hAnsi="Times New Roman" w:cs="Times New Roman"/>
          <w:sz w:val="24"/>
          <w:szCs w:val="24"/>
        </w:rPr>
        <w:t xml:space="preserve">he test error drops </w:t>
      </w:r>
      <w:r w:rsidR="007D72C6">
        <w:rPr>
          <w:rFonts w:ascii="Times New Roman" w:hAnsi="Times New Roman" w:cs="Times New Roman"/>
          <w:sz w:val="24"/>
          <w:szCs w:val="24"/>
        </w:rPr>
        <w:t>sharply</w:t>
      </w:r>
      <w:r w:rsidR="00EA6BC3">
        <w:rPr>
          <w:rFonts w:ascii="Times New Roman" w:hAnsi="Times New Roman" w:cs="Times New Roman"/>
          <w:sz w:val="24"/>
          <w:szCs w:val="24"/>
        </w:rPr>
        <w:t xml:space="preserve"> as the number of trees approaches 200 trees</w:t>
      </w:r>
      <w:r w:rsidR="007D72C6">
        <w:rPr>
          <w:rFonts w:ascii="Times New Roman" w:hAnsi="Times New Roman" w:cs="Times New Roman"/>
          <w:sz w:val="24"/>
          <w:szCs w:val="24"/>
        </w:rPr>
        <w:t xml:space="preserve">. </w:t>
      </w:r>
      <w:r w:rsidR="00DC42EE">
        <w:rPr>
          <w:rFonts w:ascii="Times New Roman" w:hAnsi="Times New Roman" w:cs="Times New Roman"/>
          <w:sz w:val="24"/>
          <w:szCs w:val="24"/>
        </w:rPr>
        <w:t xml:space="preserve">The test error does not change much as the </w:t>
      </w:r>
      <w:r w:rsidR="00EA6BC3">
        <w:rPr>
          <w:rFonts w:ascii="Times New Roman" w:hAnsi="Times New Roman" w:cs="Times New Roman"/>
          <w:sz w:val="24"/>
          <w:szCs w:val="24"/>
        </w:rPr>
        <w:t xml:space="preserve">number of trees </w:t>
      </w:r>
      <w:r w:rsidR="007D72C6">
        <w:rPr>
          <w:rFonts w:ascii="Times New Roman" w:hAnsi="Times New Roman" w:cs="Times New Roman"/>
          <w:sz w:val="24"/>
          <w:szCs w:val="24"/>
        </w:rPr>
        <w:t>pas</w:t>
      </w:r>
      <w:r w:rsidR="00A80F3A">
        <w:rPr>
          <w:rFonts w:ascii="Times New Roman" w:hAnsi="Times New Roman" w:cs="Times New Roman"/>
          <w:sz w:val="24"/>
          <w:szCs w:val="24"/>
        </w:rPr>
        <w:t>ses</w:t>
      </w:r>
      <w:r w:rsidR="007D72C6">
        <w:rPr>
          <w:rFonts w:ascii="Times New Roman" w:hAnsi="Times New Roman" w:cs="Times New Roman"/>
          <w:sz w:val="24"/>
          <w:szCs w:val="24"/>
        </w:rPr>
        <w:t xml:space="preserve"> 200</w:t>
      </w:r>
      <w:r w:rsidR="00EA6BC3">
        <w:rPr>
          <w:rFonts w:ascii="Times New Roman" w:hAnsi="Times New Roman" w:cs="Times New Roman"/>
          <w:sz w:val="24"/>
          <w:szCs w:val="24"/>
        </w:rPr>
        <w:t xml:space="preserve">. The results for other forecast horizons yield similar results. Results for </w:t>
      </w:r>
      <w:r w:rsidR="006E14FE">
        <w:rPr>
          <w:rFonts w:ascii="Times New Roman" w:hAnsi="Times New Roman" w:cs="Times New Roman"/>
          <w:sz w:val="24"/>
          <w:szCs w:val="24"/>
        </w:rPr>
        <w:t xml:space="preserve">the ETFs </w:t>
      </w:r>
      <w:r w:rsidR="00EA6BC3">
        <w:rPr>
          <w:rFonts w:ascii="Times New Roman" w:hAnsi="Times New Roman" w:cs="Times New Roman"/>
          <w:sz w:val="24"/>
          <w:szCs w:val="24"/>
        </w:rPr>
        <w:t xml:space="preserve">ICLN and QCLN are </w:t>
      </w:r>
      <w:proofErr w:type="gramStart"/>
      <w:r w:rsidR="00EA6BC3">
        <w:rPr>
          <w:rFonts w:ascii="Times New Roman" w:hAnsi="Times New Roman" w:cs="Times New Roman"/>
          <w:sz w:val="24"/>
          <w:szCs w:val="24"/>
        </w:rPr>
        <w:t>similar to</w:t>
      </w:r>
      <w:proofErr w:type="gramEnd"/>
      <w:r w:rsidR="00EA6BC3">
        <w:rPr>
          <w:rFonts w:ascii="Times New Roman" w:hAnsi="Times New Roman" w:cs="Times New Roman"/>
          <w:sz w:val="24"/>
          <w:szCs w:val="24"/>
        </w:rPr>
        <w:t xml:space="preserve"> that of PBW. </w:t>
      </w:r>
      <w:r>
        <w:rPr>
          <w:rFonts w:ascii="Times New Roman" w:hAnsi="Times New Roman" w:cs="Times New Roman"/>
          <w:sz w:val="24"/>
          <w:szCs w:val="24"/>
        </w:rPr>
        <w:t xml:space="preserve">The stochastic gradient boosted model was estimated with 1,000 trees, </w:t>
      </w:r>
      <w:r w:rsidR="004C724D">
        <w:rPr>
          <w:rFonts w:ascii="Times New Roman" w:hAnsi="Times New Roman" w:cs="Times New Roman"/>
          <w:sz w:val="24"/>
          <w:szCs w:val="24"/>
        </w:rPr>
        <w:t xml:space="preserve">a bag fraction of 0.5, </w:t>
      </w:r>
      <w:r>
        <w:rPr>
          <w:rFonts w:ascii="Times New Roman" w:hAnsi="Times New Roman" w:cs="Times New Roman"/>
          <w:sz w:val="24"/>
          <w:szCs w:val="24"/>
        </w:rPr>
        <w:t xml:space="preserve">an interaction depth of 4, a minimum number of observations in each node of 10, and a shrinkage of 0.1.  </w:t>
      </w:r>
      <w:r w:rsidR="004C2916">
        <w:rPr>
          <w:rFonts w:ascii="Times New Roman" w:hAnsi="Times New Roman" w:cs="Times New Roman"/>
          <w:sz w:val="24"/>
          <w:szCs w:val="24"/>
        </w:rPr>
        <w:t xml:space="preserve">These values were chosen based on bootstrap re-sampling of a grid search with the number of trees </w:t>
      </w:r>
      <w:r w:rsidR="004C2916">
        <w:rPr>
          <w:rFonts w:ascii="Times New Roman" w:hAnsi="Times New Roman" w:cs="Times New Roman"/>
          <w:sz w:val="24"/>
          <w:szCs w:val="24"/>
        </w:rPr>
        <w:lastRenderedPageBreak/>
        <w:t>(500, 1,000, 2,000, 3,000), the interaction depth (2</w:t>
      </w:r>
      <w:r w:rsidR="00C63713">
        <w:rPr>
          <w:rFonts w:ascii="Times New Roman" w:hAnsi="Times New Roman" w:cs="Times New Roman"/>
          <w:sz w:val="24"/>
          <w:szCs w:val="24"/>
        </w:rPr>
        <w:t>,</w:t>
      </w:r>
      <w:r w:rsidR="004C2916">
        <w:rPr>
          <w:rFonts w:ascii="Times New Roman" w:hAnsi="Times New Roman" w:cs="Times New Roman"/>
          <w:sz w:val="24"/>
          <w:szCs w:val="24"/>
        </w:rPr>
        <w:t xml:space="preserve"> 4, 5) and shrinkage (0.01, 0.1, 0.2). </w:t>
      </w:r>
      <w:r w:rsidR="00264E0A" w:rsidRPr="00831699">
        <w:rPr>
          <w:rStyle w:val="Hyperlink"/>
          <w:rFonts w:ascii="Times New Roman" w:hAnsi="Times New Roman" w:cs="Times New Roman"/>
          <w:color w:val="auto"/>
          <w:sz w:val="24"/>
          <w:szCs w:val="24"/>
          <w:u w:val="none"/>
        </w:rPr>
        <w:t>T</w:t>
      </w:r>
      <w:r w:rsidR="00FF5B89" w:rsidRPr="00831699">
        <w:rPr>
          <w:rStyle w:val="Hyperlink"/>
          <w:rFonts w:ascii="Times New Roman" w:hAnsi="Times New Roman" w:cs="Times New Roman"/>
          <w:color w:val="auto"/>
          <w:sz w:val="24"/>
          <w:szCs w:val="24"/>
          <w:u w:val="none"/>
        </w:rPr>
        <w:t xml:space="preserve">he SVM </w:t>
      </w:r>
      <w:r w:rsidR="006E14FE">
        <w:rPr>
          <w:rStyle w:val="Hyperlink"/>
          <w:rFonts w:ascii="Times New Roman" w:hAnsi="Times New Roman" w:cs="Times New Roman"/>
          <w:color w:val="auto"/>
          <w:sz w:val="24"/>
          <w:szCs w:val="24"/>
          <w:u w:val="none"/>
        </w:rPr>
        <w:t xml:space="preserve">was estimated with a </w:t>
      </w:r>
      <w:r w:rsidR="006E14FE" w:rsidRPr="00831699">
        <w:rPr>
          <w:rStyle w:val="Hyperlink"/>
          <w:rFonts w:ascii="Times New Roman" w:hAnsi="Times New Roman" w:cs="Times New Roman"/>
          <w:color w:val="auto"/>
          <w:sz w:val="24"/>
          <w:szCs w:val="24"/>
          <w:u w:val="none"/>
        </w:rPr>
        <w:t>radial basis</w:t>
      </w:r>
      <w:r w:rsidR="006E14FE">
        <w:rPr>
          <w:rStyle w:val="Hyperlink"/>
          <w:rFonts w:ascii="Times New Roman" w:hAnsi="Times New Roman" w:cs="Times New Roman"/>
          <w:color w:val="auto"/>
          <w:sz w:val="24"/>
          <w:szCs w:val="24"/>
          <w:u w:val="none"/>
        </w:rPr>
        <w:t xml:space="preserve"> and two tuning parameters. </w:t>
      </w:r>
      <w:r w:rsidR="006E14FE" w:rsidRPr="00831699">
        <w:rPr>
          <w:rStyle w:val="Hyperlink"/>
          <w:rFonts w:ascii="Times New Roman" w:hAnsi="Times New Roman" w:cs="Times New Roman"/>
          <w:color w:val="auto"/>
          <w:sz w:val="24"/>
          <w:szCs w:val="24"/>
          <w:u w:val="none"/>
        </w:rPr>
        <w:t xml:space="preserve"> </w:t>
      </w:r>
      <w:r w:rsidR="0070321F">
        <w:rPr>
          <w:rStyle w:val="Hyperlink"/>
          <w:rFonts w:ascii="Times New Roman" w:hAnsi="Times New Roman" w:cs="Times New Roman"/>
          <w:color w:val="auto"/>
          <w:sz w:val="24"/>
          <w:szCs w:val="24"/>
          <w:u w:val="none"/>
        </w:rPr>
        <w:t>Ten</w:t>
      </w:r>
      <w:r w:rsidR="00FF5B89" w:rsidRPr="00831699">
        <w:rPr>
          <w:rStyle w:val="Hyperlink"/>
          <w:rFonts w:ascii="Times New Roman" w:hAnsi="Times New Roman" w:cs="Times New Roman"/>
          <w:color w:val="auto"/>
          <w:sz w:val="24"/>
          <w:szCs w:val="24"/>
          <w:u w:val="none"/>
        </w:rPr>
        <w:t>-fold cross validation with 10 repeats</w:t>
      </w:r>
      <w:r w:rsidR="0070321F">
        <w:rPr>
          <w:rStyle w:val="Hyperlink"/>
          <w:rFonts w:ascii="Times New Roman" w:hAnsi="Times New Roman" w:cs="Times New Roman"/>
          <w:color w:val="auto"/>
          <w:sz w:val="24"/>
          <w:szCs w:val="24"/>
          <w:u w:val="none"/>
        </w:rPr>
        <w:t xml:space="preserve"> was used to determine t</w:t>
      </w:r>
      <w:r w:rsidR="0070321F" w:rsidRPr="00831699">
        <w:rPr>
          <w:rStyle w:val="Hyperlink"/>
          <w:rFonts w:ascii="Times New Roman" w:hAnsi="Times New Roman" w:cs="Times New Roman"/>
          <w:color w:val="auto"/>
          <w:sz w:val="24"/>
          <w:szCs w:val="24"/>
          <w:u w:val="none"/>
        </w:rPr>
        <w:t>he optimal values</w:t>
      </w:r>
      <w:r w:rsidR="007D72C6">
        <w:rPr>
          <w:rStyle w:val="Hyperlink"/>
          <w:rFonts w:ascii="Times New Roman" w:hAnsi="Times New Roman" w:cs="Times New Roman"/>
          <w:color w:val="auto"/>
          <w:sz w:val="24"/>
          <w:szCs w:val="24"/>
          <w:u w:val="none"/>
        </w:rPr>
        <w:t>. The</w:t>
      </w:r>
      <w:r w:rsidR="0096756F" w:rsidRPr="00831699">
        <w:rPr>
          <w:rStyle w:val="Hyperlink"/>
          <w:rFonts w:ascii="Times New Roman" w:hAnsi="Times New Roman" w:cs="Times New Roman"/>
          <w:color w:val="auto"/>
          <w:sz w:val="24"/>
          <w:szCs w:val="24"/>
          <w:u w:val="none"/>
        </w:rPr>
        <w:t xml:space="preserve"> </w:t>
      </w:r>
      <w:r w:rsidR="006E14FE">
        <w:rPr>
          <w:rStyle w:val="Hyperlink"/>
          <w:rFonts w:ascii="Times New Roman" w:hAnsi="Times New Roman" w:cs="Times New Roman"/>
          <w:color w:val="auto"/>
          <w:sz w:val="24"/>
          <w:szCs w:val="24"/>
          <w:u w:val="none"/>
        </w:rPr>
        <w:t xml:space="preserve">tuning grid for the </w:t>
      </w:r>
      <w:r w:rsidR="0096756F" w:rsidRPr="00831699">
        <w:rPr>
          <w:rStyle w:val="Hyperlink"/>
          <w:rFonts w:ascii="Times New Roman" w:hAnsi="Times New Roman" w:cs="Times New Roman"/>
          <w:color w:val="auto"/>
          <w:sz w:val="24"/>
          <w:szCs w:val="24"/>
          <w:u w:val="none"/>
        </w:rPr>
        <w:t xml:space="preserve">cost parameter </w:t>
      </w:r>
      <w:r w:rsidR="006E14FE">
        <w:rPr>
          <w:rStyle w:val="Hyperlink"/>
          <w:rFonts w:ascii="Times New Roman" w:hAnsi="Times New Roman" w:cs="Times New Roman"/>
          <w:color w:val="auto"/>
          <w:sz w:val="24"/>
          <w:szCs w:val="24"/>
          <w:u w:val="none"/>
        </w:rPr>
        <w:t>contained the</w:t>
      </w:r>
      <w:r w:rsidR="0096756F" w:rsidRPr="00831699">
        <w:rPr>
          <w:rStyle w:val="Hyperlink"/>
          <w:rFonts w:ascii="Times New Roman" w:hAnsi="Times New Roman" w:cs="Times New Roman"/>
          <w:color w:val="auto"/>
          <w:sz w:val="24"/>
          <w:szCs w:val="24"/>
          <w:u w:val="none"/>
        </w:rPr>
        <w:t xml:space="preserve"> values (0.1, 1, 10, 100, 1000)</w:t>
      </w:r>
      <w:r w:rsidR="007D72C6">
        <w:rPr>
          <w:rStyle w:val="Hyperlink"/>
          <w:rFonts w:ascii="Times New Roman" w:hAnsi="Times New Roman" w:cs="Times New Roman"/>
          <w:color w:val="auto"/>
          <w:sz w:val="24"/>
          <w:szCs w:val="24"/>
          <w:u w:val="none"/>
        </w:rPr>
        <w:t xml:space="preserve">. The </w:t>
      </w:r>
      <w:r w:rsidR="006E14FE">
        <w:rPr>
          <w:rStyle w:val="Hyperlink"/>
          <w:rFonts w:ascii="Times New Roman" w:hAnsi="Times New Roman" w:cs="Times New Roman"/>
          <w:color w:val="auto"/>
          <w:sz w:val="24"/>
          <w:szCs w:val="24"/>
          <w:u w:val="none"/>
        </w:rPr>
        <w:t xml:space="preserve">tuning grid for the </w:t>
      </w:r>
      <w:r w:rsidR="0096756F" w:rsidRPr="00831699">
        <w:rPr>
          <w:rStyle w:val="Hyperlink"/>
          <w:rFonts w:ascii="Times New Roman" w:hAnsi="Times New Roman" w:cs="Times New Roman"/>
          <w:color w:val="auto"/>
          <w:sz w:val="24"/>
          <w:szCs w:val="24"/>
          <w:u w:val="none"/>
        </w:rPr>
        <w:t xml:space="preserve">gamma </w:t>
      </w:r>
      <w:r w:rsidR="007D72C6">
        <w:rPr>
          <w:rStyle w:val="Hyperlink"/>
          <w:rFonts w:ascii="Times New Roman" w:hAnsi="Times New Roman" w:cs="Times New Roman"/>
          <w:color w:val="auto"/>
          <w:sz w:val="24"/>
          <w:szCs w:val="24"/>
          <w:u w:val="none"/>
        </w:rPr>
        <w:t xml:space="preserve">parameter </w:t>
      </w:r>
      <w:r w:rsidR="006E14FE">
        <w:rPr>
          <w:rStyle w:val="Hyperlink"/>
          <w:rFonts w:ascii="Times New Roman" w:hAnsi="Times New Roman" w:cs="Times New Roman"/>
          <w:color w:val="auto"/>
          <w:sz w:val="24"/>
          <w:szCs w:val="24"/>
          <w:u w:val="none"/>
        </w:rPr>
        <w:t>contained the</w:t>
      </w:r>
      <w:r w:rsidR="0096756F" w:rsidRPr="00831699">
        <w:rPr>
          <w:rStyle w:val="Hyperlink"/>
          <w:rFonts w:ascii="Times New Roman" w:hAnsi="Times New Roman" w:cs="Times New Roman"/>
          <w:color w:val="auto"/>
          <w:sz w:val="24"/>
          <w:szCs w:val="24"/>
          <w:u w:val="none"/>
        </w:rPr>
        <w:t xml:space="preserve"> values (0.2, 0.</w:t>
      </w:r>
      <w:r w:rsidR="007371A9" w:rsidRPr="00831699">
        <w:rPr>
          <w:rStyle w:val="Hyperlink"/>
          <w:rFonts w:ascii="Times New Roman" w:hAnsi="Times New Roman" w:cs="Times New Roman"/>
          <w:color w:val="auto"/>
          <w:sz w:val="24"/>
          <w:szCs w:val="24"/>
          <w:u w:val="none"/>
        </w:rPr>
        <w:t>5</w:t>
      </w:r>
      <w:r w:rsidR="0096756F" w:rsidRPr="00831699">
        <w:rPr>
          <w:rStyle w:val="Hyperlink"/>
          <w:rFonts w:ascii="Times New Roman" w:hAnsi="Times New Roman" w:cs="Times New Roman"/>
          <w:color w:val="auto"/>
          <w:sz w:val="24"/>
          <w:szCs w:val="24"/>
          <w:u w:val="none"/>
        </w:rPr>
        <w:t xml:space="preserve">, 1, 2, </w:t>
      </w:r>
      <w:r w:rsidR="007371A9" w:rsidRPr="00831699">
        <w:rPr>
          <w:rStyle w:val="Hyperlink"/>
          <w:rFonts w:ascii="Times New Roman" w:hAnsi="Times New Roman" w:cs="Times New Roman"/>
          <w:color w:val="auto"/>
          <w:sz w:val="24"/>
          <w:szCs w:val="24"/>
          <w:u w:val="none"/>
        </w:rPr>
        <w:t>3</w:t>
      </w:r>
      <w:r w:rsidR="0096756F" w:rsidRPr="00831699">
        <w:rPr>
          <w:rStyle w:val="Hyperlink"/>
          <w:rFonts w:ascii="Times New Roman" w:hAnsi="Times New Roman" w:cs="Times New Roman"/>
          <w:color w:val="auto"/>
          <w:sz w:val="24"/>
          <w:szCs w:val="24"/>
          <w:u w:val="none"/>
        </w:rPr>
        <w:t>, 4)</w:t>
      </w:r>
      <w:r w:rsidR="00FF5B89" w:rsidRPr="00831699">
        <w:rPr>
          <w:rStyle w:val="Hyperlink"/>
          <w:rFonts w:ascii="Times New Roman" w:hAnsi="Times New Roman" w:cs="Times New Roman"/>
          <w:color w:val="auto"/>
          <w:sz w:val="24"/>
          <w:szCs w:val="24"/>
          <w:u w:val="none"/>
        </w:rPr>
        <w:t>.</w:t>
      </w:r>
      <w:r w:rsidR="00300CB6" w:rsidRPr="00831699">
        <w:rPr>
          <w:rStyle w:val="Hyperlink"/>
          <w:rFonts w:ascii="Times New Roman" w:hAnsi="Times New Roman" w:cs="Times New Roman"/>
          <w:color w:val="auto"/>
          <w:sz w:val="24"/>
          <w:szCs w:val="24"/>
          <w:u w:val="none"/>
        </w:rPr>
        <w:t xml:space="preserve"> </w:t>
      </w:r>
      <w:r w:rsidR="00A80F3A">
        <w:rPr>
          <w:rFonts w:ascii="Times New Roman" w:hAnsi="Times New Roman" w:cs="Times New Roman"/>
          <w:sz w:val="24"/>
          <w:szCs w:val="24"/>
        </w:rPr>
        <w:t>D</w:t>
      </w:r>
      <w:r w:rsidR="00E32727" w:rsidRPr="00831699">
        <w:rPr>
          <w:rFonts w:ascii="Times New Roman" w:hAnsi="Times New Roman" w:cs="Times New Roman"/>
          <w:sz w:val="24"/>
          <w:szCs w:val="24"/>
        </w:rPr>
        <w:t>istance-based algorithm</w:t>
      </w:r>
      <w:r w:rsidR="00A80F3A">
        <w:rPr>
          <w:rFonts w:ascii="Times New Roman" w:hAnsi="Times New Roman" w:cs="Times New Roman"/>
          <w:sz w:val="24"/>
          <w:szCs w:val="24"/>
        </w:rPr>
        <w:t>s like the ones used by SVM</w:t>
      </w:r>
      <w:r w:rsidR="00E32727" w:rsidRPr="00831699">
        <w:rPr>
          <w:rFonts w:ascii="Times New Roman" w:hAnsi="Times New Roman" w:cs="Times New Roman"/>
          <w:sz w:val="24"/>
          <w:szCs w:val="24"/>
        </w:rPr>
        <w:t xml:space="preserve"> </w:t>
      </w:r>
      <w:r w:rsidR="00743207">
        <w:rPr>
          <w:rFonts w:ascii="Times New Roman" w:hAnsi="Times New Roman" w:cs="Times New Roman"/>
          <w:sz w:val="24"/>
          <w:szCs w:val="24"/>
        </w:rPr>
        <w:t xml:space="preserve">are susceptible to the range of </w:t>
      </w:r>
      <w:r w:rsidR="004245DF">
        <w:rPr>
          <w:rFonts w:ascii="Times New Roman" w:hAnsi="Times New Roman" w:cs="Times New Roman"/>
          <w:sz w:val="24"/>
          <w:szCs w:val="24"/>
        </w:rPr>
        <w:t>t</w:t>
      </w:r>
      <w:r w:rsidR="00743207">
        <w:rPr>
          <w:rFonts w:ascii="Times New Roman" w:hAnsi="Times New Roman" w:cs="Times New Roman"/>
          <w:sz w:val="24"/>
          <w:szCs w:val="24"/>
        </w:rPr>
        <w:t>he data</w:t>
      </w:r>
      <w:r w:rsidR="00E32727" w:rsidRPr="00831699">
        <w:rPr>
          <w:rFonts w:ascii="Times New Roman" w:hAnsi="Times New Roman" w:cs="Times New Roman"/>
          <w:sz w:val="24"/>
          <w:szCs w:val="24"/>
        </w:rPr>
        <w:t>.</w:t>
      </w:r>
      <w:r w:rsidR="00E32727">
        <w:rPr>
          <w:rFonts w:ascii="Times New Roman" w:hAnsi="Times New Roman" w:cs="Times New Roman"/>
          <w:sz w:val="24"/>
          <w:szCs w:val="24"/>
        </w:rPr>
        <w:t xml:space="preserve"> Consequently, t</w:t>
      </w:r>
      <w:r w:rsidR="006E14FE">
        <w:rPr>
          <w:rFonts w:ascii="Times New Roman" w:hAnsi="Times New Roman" w:cs="Times New Roman"/>
          <w:sz w:val="24"/>
          <w:szCs w:val="24"/>
        </w:rPr>
        <w:t xml:space="preserve">he </w:t>
      </w:r>
      <w:r w:rsidR="00300CB6" w:rsidRPr="00831699">
        <w:rPr>
          <w:rFonts w:ascii="Times New Roman" w:hAnsi="Times New Roman" w:cs="Times New Roman"/>
          <w:sz w:val="24"/>
          <w:szCs w:val="24"/>
        </w:rPr>
        <w:t>feature</w:t>
      </w:r>
      <w:r w:rsidR="006E14FE">
        <w:rPr>
          <w:rFonts w:ascii="Times New Roman" w:hAnsi="Times New Roman" w:cs="Times New Roman"/>
          <w:sz w:val="24"/>
          <w:szCs w:val="24"/>
        </w:rPr>
        <w:t xml:space="preserve">s were scaled </w:t>
      </w:r>
      <w:r w:rsidR="00300CB6" w:rsidRPr="00831699">
        <w:rPr>
          <w:rFonts w:ascii="Times New Roman" w:hAnsi="Times New Roman" w:cs="Times New Roman"/>
          <w:sz w:val="24"/>
          <w:szCs w:val="24"/>
        </w:rPr>
        <w:t>to have a mean of zero and standard deviation of unity</w:t>
      </w:r>
      <w:r w:rsidR="007D72C6">
        <w:rPr>
          <w:rFonts w:ascii="Times New Roman" w:hAnsi="Times New Roman" w:cs="Times New Roman"/>
          <w:sz w:val="24"/>
          <w:szCs w:val="24"/>
        </w:rPr>
        <w:t xml:space="preserve">. </w:t>
      </w:r>
      <w:r w:rsidR="00300CB6" w:rsidRPr="00831699">
        <w:rPr>
          <w:rFonts w:ascii="Times New Roman" w:hAnsi="Times New Roman" w:cs="Times New Roman"/>
          <w:sz w:val="24"/>
          <w:szCs w:val="24"/>
        </w:rPr>
        <w:t xml:space="preserve"> Data scaling was not applied to the tree-based methods because splitting takes place on a single feature which is not affected by scaling.</w:t>
      </w:r>
    </w:p>
    <w:p w14:paraId="47B0B650" w14:textId="10C6A928" w:rsidR="00FF5B89" w:rsidRDefault="006E2AFE" w:rsidP="006E2AFE">
      <w:pPr>
        <w:spacing w:after="0" w:line="480" w:lineRule="auto"/>
        <w:ind w:firstLine="720"/>
        <w:rPr>
          <w:rFonts w:ascii="Times New Roman" w:hAnsi="Times New Roman" w:cs="Times New Roman"/>
          <w:sz w:val="24"/>
          <w:szCs w:val="24"/>
          <w:lang w:bidi="en-US"/>
        </w:rPr>
      </w:pPr>
      <w:r w:rsidRPr="006E2AFE">
        <w:rPr>
          <w:rFonts w:ascii="Times New Roman" w:hAnsi="Times New Roman" w:cs="Times New Roman"/>
          <w:sz w:val="24"/>
          <w:szCs w:val="24"/>
          <w:lang w:bidi="en-US"/>
        </w:rPr>
        <w:t>For</w:t>
      </w:r>
      <w:r w:rsidR="007D72C6">
        <w:rPr>
          <w:rFonts w:ascii="Times New Roman" w:hAnsi="Times New Roman" w:cs="Times New Roman"/>
          <w:sz w:val="24"/>
          <w:szCs w:val="24"/>
          <w:lang w:bidi="en-US"/>
        </w:rPr>
        <w:t xml:space="preserve"> classification problems the</w:t>
      </w:r>
      <w:r w:rsidRPr="006E2AFE">
        <w:rPr>
          <w:rFonts w:ascii="Times New Roman" w:hAnsi="Times New Roman" w:cs="Times New Roman"/>
          <w:sz w:val="24"/>
          <w:szCs w:val="24"/>
          <w:lang w:bidi="en-US"/>
        </w:rPr>
        <w:t xml:space="preserve"> confusion matrix</w:t>
      </w:r>
      <w:r w:rsidR="007D72C6">
        <w:rPr>
          <w:rFonts w:ascii="Times New Roman" w:hAnsi="Times New Roman" w:cs="Times New Roman"/>
          <w:sz w:val="24"/>
          <w:szCs w:val="24"/>
          <w:lang w:bidi="en-US"/>
        </w:rPr>
        <w:t xml:space="preserve"> provides the main output from which to </w:t>
      </w:r>
      <w:r w:rsidR="003E4EC5">
        <w:rPr>
          <w:rFonts w:ascii="Times New Roman" w:hAnsi="Times New Roman" w:cs="Times New Roman"/>
          <w:sz w:val="24"/>
          <w:szCs w:val="24"/>
          <w:lang w:bidi="en-US"/>
        </w:rPr>
        <w:t>create measures of</w:t>
      </w:r>
      <w:r w:rsidR="007D72C6">
        <w:rPr>
          <w:rFonts w:ascii="Times New Roman" w:hAnsi="Times New Roman" w:cs="Times New Roman"/>
          <w:sz w:val="24"/>
          <w:szCs w:val="24"/>
          <w:lang w:bidi="en-US"/>
        </w:rPr>
        <w:t xml:space="preserve"> prediction accuracy</w:t>
      </w:r>
      <w:r w:rsidRPr="006E2AFE">
        <w:rPr>
          <w:rFonts w:ascii="Times New Roman" w:hAnsi="Times New Roman" w:cs="Times New Roman"/>
          <w:sz w:val="24"/>
          <w:szCs w:val="24"/>
          <w:lang w:bidi="en-US"/>
        </w:rPr>
        <w:t xml:space="preserve">. </w:t>
      </w:r>
      <w:r w:rsidR="00B22317">
        <w:rPr>
          <w:rFonts w:ascii="Times New Roman" w:hAnsi="Times New Roman" w:cs="Times New Roman"/>
          <w:sz w:val="24"/>
          <w:szCs w:val="24"/>
          <w:lang w:bidi="en-US"/>
        </w:rPr>
        <w:t>Prediction a</w:t>
      </w:r>
      <w:r w:rsidRPr="006E2AFE">
        <w:rPr>
          <w:rFonts w:ascii="Times New Roman" w:hAnsi="Times New Roman" w:cs="Times New Roman"/>
          <w:sz w:val="24"/>
          <w:szCs w:val="24"/>
          <w:lang w:bidi="en-US"/>
        </w:rPr>
        <w:t xml:space="preserve">ccuracy is the number of true positives and true negatives divided by the total number of predictions.  </w:t>
      </w:r>
      <w:r w:rsidR="00D82080">
        <w:rPr>
          <w:rFonts w:ascii="Times New Roman" w:hAnsi="Times New Roman" w:cs="Times New Roman"/>
          <w:sz w:val="24"/>
          <w:szCs w:val="24"/>
          <w:lang w:bidi="en-US"/>
        </w:rPr>
        <w:t xml:space="preserve">This value ranges from zero to one. </w:t>
      </w:r>
      <w:r w:rsidRPr="006E2AFE">
        <w:rPr>
          <w:rFonts w:ascii="Times New Roman" w:hAnsi="Times New Roman" w:cs="Times New Roman"/>
          <w:sz w:val="24"/>
          <w:szCs w:val="24"/>
          <w:lang w:bidi="en-US"/>
        </w:rPr>
        <w:t xml:space="preserve">The kappa statistic </w:t>
      </w:r>
      <w:r w:rsidR="00CB2775">
        <w:rPr>
          <w:rFonts w:ascii="Times New Roman" w:hAnsi="Times New Roman" w:cs="Times New Roman"/>
          <w:sz w:val="24"/>
          <w:szCs w:val="24"/>
          <w:lang w:bidi="en-US"/>
        </w:rPr>
        <w:t xml:space="preserve">is a better measure of prediction accuracy when there is a considerable unbalance between the classification categories because kappa </w:t>
      </w:r>
      <w:r w:rsidRPr="006E2AFE">
        <w:rPr>
          <w:rFonts w:ascii="Times New Roman" w:hAnsi="Times New Roman" w:cs="Times New Roman"/>
          <w:sz w:val="24"/>
          <w:szCs w:val="24"/>
          <w:lang w:bidi="en-US"/>
        </w:rPr>
        <w:t xml:space="preserve">adjusts </w:t>
      </w:r>
      <w:r w:rsidR="00FC4BE8">
        <w:rPr>
          <w:rFonts w:ascii="Times New Roman" w:hAnsi="Times New Roman" w:cs="Times New Roman"/>
          <w:sz w:val="24"/>
          <w:szCs w:val="24"/>
          <w:lang w:bidi="en-US"/>
        </w:rPr>
        <w:t xml:space="preserve">prediction </w:t>
      </w:r>
      <w:r w:rsidRPr="006E2AFE">
        <w:rPr>
          <w:rFonts w:ascii="Times New Roman" w:hAnsi="Times New Roman" w:cs="Times New Roman"/>
          <w:sz w:val="24"/>
          <w:szCs w:val="24"/>
          <w:lang w:bidi="en-US"/>
        </w:rPr>
        <w:t xml:space="preserve">accuracy by accounting for the possibility of a </w:t>
      </w:r>
      <w:r w:rsidR="00D82080">
        <w:rPr>
          <w:rFonts w:ascii="Times New Roman" w:hAnsi="Times New Roman" w:cs="Times New Roman"/>
          <w:sz w:val="24"/>
          <w:szCs w:val="24"/>
          <w:lang w:bidi="en-US"/>
        </w:rPr>
        <w:t xml:space="preserve">chance occurrence of a </w:t>
      </w:r>
      <w:r w:rsidRPr="006E2AFE">
        <w:rPr>
          <w:rFonts w:ascii="Times New Roman" w:hAnsi="Times New Roman" w:cs="Times New Roman"/>
          <w:sz w:val="24"/>
          <w:szCs w:val="24"/>
          <w:lang w:bidi="en-US"/>
        </w:rPr>
        <w:t xml:space="preserve">correct prediction. </w:t>
      </w:r>
      <w:r w:rsidR="00CB2775" w:rsidRPr="006E2AFE">
        <w:rPr>
          <w:rFonts w:ascii="Times New Roman" w:hAnsi="Times New Roman" w:cs="Times New Roman"/>
          <w:sz w:val="24"/>
          <w:szCs w:val="24"/>
          <w:lang w:bidi="en-US"/>
        </w:rPr>
        <w:t xml:space="preserve">The </w:t>
      </w:r>
      <w:r w:rsidR="00CB2775">
        <w:rPr>
          <w:rFonts w:ascii="Times New Roman" w:hAnsi="Times New Roman" w:cs="Times New Roman"/>
          <w:sz w:val="24"/>
          <w:szCs w:val="24"/>
          <w:lang w:bidi="en-US"/>
        </w:rPr>
        <w:t xml:space="preserve">F1 score, sometimes called the F measure, is a prediction accuracy measure that combines precision and recall into a single number which also </w:t>
      </w:r>
      <w:proofErr w:type="gramStart"/>
      <w:r w:rsidR="00CB2775">
        <w:rPr>
          <w:rFonts w:ascii="Times New Roman" w:hAnsi="Times New Roman" w:cs="Times New Roman"/>
          <w:sz w:val="24"/>
          <w:szCs w:val="24"/>
          <w:lang w:bidi="en-US"/>
        </w:rPr>
        <w:t>takes into account</w:t>
      </w:r>
      <w:proofErr w:type="gramEnd"/>
      <w:r w:rsidR="00CB2775">
        <w:rPr>
          <w:rFonts w:ascii="Times New Roman" w:hAnsi="Times New Roman" w:cs="Times New Roman"/>
          <w:sz w:val="24"/>
          <w:szCs w:val="24"/>
          <w:lang w:bidi="en-US"/>
        </w:rPr>
        <w:t xml:space="preserve"> class imbalance.</w:t>
      </w:r>
    </w:p>
    <w:p w14:paraId="1B9B3512" w14:textId="4F01A51F" w:rsidR="002B7BB9" w:rsidRDefault="002B7BB9" w:rsidP="006E2AFE">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 xml:space="preserve">Shapley values are used to explain </w:t>
      </w:r>
      <w:r w:rsidR="00107F5D">
        <w:rPr>
          <w:rFonts w:ascii="Times New Roman" w:hAnsi="Times New Roman" w:cs="Times New Roman"/>
          <w:sz w:val="24"/>
          <w:szCs w:val="24"/>
          <w:lang w:bidi="en-US"/>
        </w:rPr>
        <w:t>feature</w:t>
      </w:r>
      <w:r>
        <w:rPr>
          <w:rFonts w:ascii="Times New Roman" w:hAnsi="Times New Roman" w:cs="Times New Roman"/>
          <w:sz w:val="24"/>
          <w:szCs w:val="24"/>
          <w:lang w:bidi="en-US"/>
        </w:rPr>
        <w:t xml:space="preserve"> importance. Shapley values are derived from conditional game theory. </w:t>
      </w:r>
      <w:r w:rsidR="00845FD6">
        <w:rPr>
          <w:rFonts w:ascii="Times New Roman" w:hAnsi="Times New Roman" w:cs="Times New Roman"/>
          <w:sz w:val="24"/>
          <w:szCs w:val="24"/>
          <w:lang w:bidi="en-US"/>
        </w:rPr>
        <w:t>Essentially</w:t>
      </w:r>
      <w:r>
        <w:rPr>
          <w:rFonts w:ascii="Times New Roman" w:hAnsi="Times New Roman" w:cs="Times New Roman"/>
          <w:sz w:val="24"/>
          <w:szCs w:val="24"/>
          <w:lang w:bidi="en-US"/>
        </w:rPr>
        <w:t xml:space="preserve">, the Shapley value </w:t>
      </w:r>
      <w:r w:rsidR="00845FD6">
        <w:rPr>
          <w:rFonts w:ascii="Times New Roman" w:hAnsi="Times New Roman" w:cs="Times New Roman"/>
          <w:sz w:val="24"/>
          <w:szCs w:val="24"/>
          <w:lang w:bidi="en-US"/>
        </w:rPr>
        <w:t>signifies</w:t>
      </w:r>
      <w:r>
        <w:rPr>
          <w:rFonts w:ascii="Times New Roman" w:hAnsi="Times New Roman" w:cs="Times New Roman"/>
          <w:sz w:val="24"/>
          <w:szCs w:val="24"/>
          <w:lang w:bidi="en-US"/>
        </w:rPr>
        <w:t xml:space="preserve"> the contribution of each </w:t>
      </w:r>
      <w:r w:rsidR="004245DF">
        <w:rPr>
          <w:rFonts w:ascii="Times New Roman" w:hAnsi="Times New Roman" w:cs="Times New Roman"/>
          <w:sz w:val="24"/>
          <w:szCs w:val="24"/>
          <w:lang w:bidi="en-US"/>
        </w:rPr>
        <w:t>feature</w:t>
      </w:r>
      <w:r>
        <w:rPr>
          <w:rFonts w:ascii="Times New Roman" w:hAnsi="Times New Roman" w:cs="Times New Roman"/>
          <w:sz w:val="24"/>
          <w:szCs w:val="24"/>
          <w:lang w:bidi="en-US"/>
        </w:rPr>
        <w:t xml:space="preserve"> towards the predicted value compared to the average prediction for the data set </w:t>
      </w:r>
      <w:r>
        <w:rPr>
          <w:rFonts w:ascii="Times New Roman" w:hAnsi="Times New Roman" w:cs="Times New Roman"/>
          <w:sz w:val="24"/>
          <w:szCs w:val="24"/>
          <w:lang w:bidi="en-US"/>
        </w:rPr>
        <w:fldChar w:fldCharType="begin"/>
      </w:r>
      <w:r w:rsidR="00102B20">
        <w:rPr>
          <w:rFonts w:ascii="Times New Roman" w:hAnsi="Times New Roman" w:cs="Times New Roman"/>
          <w:sz w:val="24"/>
          <w:szCs w:val="24"/>
          <w:lang w:bidi="en-US"/>
        </w:rPr>
        <w:instrText xml:space="preserve"> ADDIN ZOTERO_ITEM CSL_CITATION {"citationID":"3bz8yyXK","properties":{"formattedCitation":"(Lundberg and Lee, 2016, 2017)","plainCitation":"(Lundberg and Lee, 2016, 2017)","noteIndex":0},"citationItems":[{"id":3685,"uris":["http://zotero.org/users/5823779/items/9MKGIPXI"],"itemData":{"id":3685,"type":"paper-conference","abstract":"Understanding why a model made a certain prediction is crucial in many data science fields. Interpretable predictions engender appropriate trust and provide insight into how the model may be improved. However, with large modern datasets the best accuracy is often achieved by complex models even experts struggle to interpret, which creates a tension between accuracy and interpretability. Recently, several methods have been proposed for interpreting predictions from complex models by estimating the importance of input features. Here, we present how a model-agnostic additive representation of the importance of input features unifies current methods. This representation is optimal, in the sense that it is the only set of additive values that satisfies important properties. We show how we can leverage these properties to create novel visual explanations of model predictions. The thread of unity that this representation weaves through the literature indicates that there are common principles to be learned about the interpretation of model predictions that apply in many scenarios.","DOI":"10.48550/arXiv.1611.07478","event":"Advances in Neural Information Processing Systems","note":"number: arXiv:1611.07478\narXiv:1611.07478 [cs]","publisher":"arXiv","source":"arXiv.org","title":"An unexpected unity among methods for interpreting model predictions","URL":"http://arxiv.org/abs/1611.07478","author":[{"family":"Lundberg","given":"Scott"},{"family":"Lee","given":"Su-In"}],"accessed":{"date-parts":[["2022",6,21]]},"issued":{"date-parts":[["2016",12,8]]}}},{"id":3699,"uris":["http://zotero.org/users/5823779/items/NQRMN35S"],"itemData":{"id":3699,"type":"paper-conference","abstrac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approaches.","container-title":"Advances in Neural Information Processing Systems","publisher":"Curran Associates, Inc.","source":"Neural Information Processing Systems","title":"A Unified Approach to Interpreting Model Predictions","URL":"https://proceedings.neurips.cc/paper/2017/hash/8a20a8621978632d76c43dfd28b67767-Abstract.html","volume":"30","author":[{"family":"Lundberg","given":"Scott M"},{"family":"Lee","given":"Su-In"}],"accessed":{"date-parts":[["2022",6,21]]},"issued":{"date-parts":[["2017"]]}}}],"schema":"https://github.com/citation-style-language/schema/raw/master/csl-citation.json"} </w:instrText>
      </w:r>
      <w:r>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(Lundberg and Lee, 2016, 2017)</w:t>
      </w:r>
      <w:r>
        <w:rPr>
          <w:rFonts w:ascii="Times New Roman" w:hAnsi="Times New Roman" w:cs="Times New Roman"/>
          <w:sz w:val="24"/>
          <w:szCs w:val="24"/>
          <w:lang w:bidi="en-US"/>
        </w:rPr>
        <w:fldChar w:fldCharType="end"/>
      </w:r>
      <w:r>
        <w:rPr>
          <w:rFonts w:ascii="Times New Roman" w:hAnsi="Times New Roman" w:cs="Times New Roman"/>
          <w:sz w:val="24"/>
          <w:szCs w:val="24"/>
          <w:lang w:bidi="en-US"/>
        </w:rPr>
        <w:t xml:space="preserve">. As an example, consider the </w:t>
      </w:r>
      <w:r w:rsidR="00CE0C5E">
        <w:rPr>
          <w:rFonts w:ascii="Times New Roman" w:hAnsi="Times New Roman" w:cs="Times New Roman"/>
          <w:sz w:val="24"/>
          <w:szCs w:val="24"/>
          <w:lang w:bidi="en-US"/>
        </w:rPr>
        <w:t xml:space="preserve">Shapley </w:t>
      </w:r>
      <w:r>
        <w:rPr>
          <w:rFonts w:ascii="Times New Roman" w:hAnsi="Times New Roman" w:cs="Times New Roman"/>
          <w:sz w:val="24"/>
          <w:szCs w:val="24"/>
          <w:lang w:bidi="en-US"/>
        </w:rPr>
        <w:t>calculation f</w:t>
      </w:r>
      <w:r w:rsidR="00CE0C5E">
        <w:rPr>
          <w:rFonts w:ascii="Times New Roman" w:hAnsi="Times New Roman" w:cs="Times New Roman"/>
          <w:sz w:val="24"/>
          <w:szCs w:val="24"/>
          <w:lang w:bidi="en-US"/>
        </w:rPr>
        <w:t>or</w:t>
      </w:r>
      <w:r>
        <w:rPr>
          <w:rFonts w:ascii="Times New Roman" w:hAnsi="Times New Roman" w:cs="Times New Roman"/>
          <w:sz w:val="24"/>
          <w:szCs w:val="24"/>
          <w:lang w:bidi="en-US"/>
        </w:rPr>
        <w:t xml:space="preserve"> one feature say X1. The accuracy of every combination of features not including X1 is recorded and then a test is conducted to see how adding X1 to each combination improves the accuracy. Shapley values are theoretically consistent </w:t>
      </w:r>
      <w:r w:rsidR="00845FD6">
        <w:rPr>
          <w:rFonts w:ascii="Times New Roman" w:hAnsi="Times New Roman" w:cs="Times New Roman"/>
          <w:sz w:val="24"/>
          <w:szCs w:val="24"/>
          <w:lang w:bidi="en-US"/>
        </w:rPr>
        <w:t xml:space="preserve">and more robust </w:t>
      </w:r>
      <w:r>
        <w:rPr>
          <w:rFonts w:ascii="Times New Roman" w:hAnsi="Times New Roman" w:cs="Times New Roman"/>
          <w:sz w:val="24"/>
          <w:szCs w:val="24"/>
          <w:lang w:bidi="en-US"/>
        </w:rPr>
        <w:t xml:space="preserve">than permutation based variable importance. The </w:t>
      </w:r>
      <w:r>
        <w:rPr>
          <w:rFonts w:ascii="Times New Roman" w:hAnsi="Times New Roman" w:cs="Times New Roman"/>
          <w:sz w:val="24"/>
          <w:szCs w:val="24"/>
          <w:lang w:bidi="en-US"/>
        </w:rPr>
        <w:lastRenderedPageBreak/>
        <w:t xml:space="preserve">tradeoff is that Shapley values are much more computationally intensive and </w:t>
      </w:r>
      <w:r w:rsidR="00845FD6">
        <w:rPr>
          <w:rFonts w:ascii="Times New Roman" w:hAnsi="Times New Roman" w:cs="Times New Roman"/>
          <w:sz w:val="24"/>
          <w:szCs w:val="24"/>
          <w:lang w:bidi="en-US"/>
        </w:rPr>
        <w:t xml:space="preserve">have a </w:t>
      </w:r>
      <w:r w:rsidR="00107F5D">
        <w:rPr>
          <w:rFonts w:ascii="Times New Roman" w:hAnsi="Times New Roman" w:cs="Times New Roman"/>
          <w:sz w:val="24"/>
          <w:szCs w:val="24"/>
          <w:lang w:bidi="en-US"/>
        </w:rPr>
        <w:t xml:space="preserve">much </w:t>
      </w:r>
      <w:r w:rsidR="00845FD6">
        <w:rPr>
          <w:rFonts w:ascii="Times New Roman" w:hAnsi="Times New Roman" w:cs="Times New Roman"/>
          <w:sz w:val="24"/>
          <w:szCs w:val="24"/>
          <w:lang w:bidi="en-US"/>
        </w:rPr>
        <w:t>longer computation</w:t>
      </w:r>
      <w:r>
        <w:rPr>
          <w:rFonts w:ascii="Times New Roman" w:hAnsi="Times New Roman" w:cs="Times New Roman"/>
          <w:sz w:val="24"/>
          <w:szCs w:val="24"/>
          <w:lang w:bidi="en-US"/>
        </w:rPr>
        <w:t xml:space="preserve"> time.</w:t>
      </w:r>
    </w:p>
    <w:p w14:paraId="3B6F3F82" w14:textId="491886B0" w:rsidR="006E2AFE" w:rsidRPr="006E2AFE" w:rsidRDefault="006E2AFE" w:rsidP="006E2AFE">
      <w:pPr>
        <w:spacing w:after="0" w:line="480" w:lineRule="auto"/>
        <w:ind w:firstLine="720"/>
        <w:rPr>
          <w:rFonts w:ascii="Times New Roman" w:hAnsi="Times New Roman" w:cs="Times New Roman"/>
          <w:sz w:val="24"/>
          <w:szCs w:val="24"/>
          <w:lang w:bidi="en-US"/>
        </w:rPr>
      </w:pPr>
      <w:bookmarkStart w:id="1" w:name="_Hlk103689089"/>
      <w:bookmarkStart w:id="2" w:name="_Hlk103689024"/>
      <w:r w:rsidRPr="006E2AFE">
        <w:rPr>
          <w:rFonts w:ascii="Times New Roman" w:hAnsi="Times New Roman" w:cs="Times New Roman"/>
          <w:sz w:val="24"/>
          <w:szCs w:val="24"/>
          <w:lang w:bidi="en-US"/>
        </w:rPr>
        <w:t xml:space="preserve">All calculations were done in R </w:t>
      </w:r>
      <w:r w:rsidRPr="006E2AFE">
        <w:rPr>
          <w:rFonts w:ascii="Times New Roman" w:hAnsi="Times New Roman" w:cs="Times New Roman"/>
          <w:sz w:val="24"/>
          <w:szCs w:val="24"/>
          <w:lang w:bidi="en-US"/>
        </w:rPr>
        <w:fldChar w:fldCharType="begin"/>
      </w:r>
      <w:r w:rsidR="00845FD6">
        <w:rPr>
          <w:rFonts w:ascii="Times New Roman" w:hAnsi="Times New Roman" w:cs="Times New Roman"/>
          <w:sz w:val="24"/>
          <w:szCs w:val="24"/>
          <w:lang w:bidi="en-US"/>
        </w:rPr>
        <w:instrText xml:space="preserve"> ADDIN ZOTERO_ITEM CSL_CITATION {"citationID":"eFPlS1wc","properties":{"formattedCitation":"(R Core Team, 2022)","plainCitation":"(R Core Team, 2022)","noteIndex":0},"citationItems":[{"id":2052,"uris":["http://zotero.org/users/5823779/items/SGNVH8MB"],"itemData":{"id":2052,"type":"book","event-place":"Vienna, Austria","publisher":"The R Project for Statistical Computing","publisher-place":"Vienna, Austria","title":"R: A Language and Environment for Statistical Computing","URL":"https://www.r-project.org/","version":"R version 3.6.0 (2019-04-26)","author":[{"family":"R Core Team","given":""}],"accessed":{"date-parts":[["2020",8,2]]},"issued":{"date-parts":[["2022"]]}}}],"schema":"https://github.com/citation-style-language/schema/raw/master/csl-citation.json"} </w:instrText>
      </w:r>
      <w:r w:rsidRPr="006E2AFE">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(R Core Team, 2022)</w:t>
      </w:r>
      <w:r w:rsidRPr="006E2AFE">
        <w:rPr>
          <w:rFonts w:ascii="Times New Roman" w:hAnsi="Times New Roman" w:cs="Times New Roman"/>
          <w:sz w:val="24"/>
          <w:szCs w:val="24"/>
        </w:rPr>
        <w:fldChar w:fldCharType="end"/>
      </w:r>
      <w:r w:rsidRPr="006E2AFE">
        <w:rPr>
          <w:rFonts w:ascii="Times New Roman" w:hAnsi="Times New Roman" w:cs="Times New Roman"/>
          <w:sz w:val="24"/>
          <w:szCs w:val="24"/>
          <w:lang w:bidi="en-US"/>
        </w:rPr>
        <w:t xml:space="preserve"> using </w:t>
      </w:r>
      <w:r w:rsidR="00102B20" w:rsidRPr="006E2AFE">
        <w:rPr>
          <w:rFonts w:ascii="Times New Roman" w:hAnsi="Times New Roman" w:cs="Times New Roman"/>
          <w:sz w:val="24"/>
          <w:szCs w:val="24"/>
          <w:lang w:bidi="en-US"/>
        </w:rPr>
        <w:t>the r</w:t>
      </w:r>
      <w:r w:rsidR="00102B20">
        <w:rPr>
          <w:rFonts w:ascii="Times New Roman" w:hAnsi="Times New Roman" w:cs="Times New Roman"/>
          <w:sz w:val="24"/>
          <w:szCs w:val="24"/>
          <w:lang w:bidi="en-US"/>
        </w:rPr>
        <w:t xml:space="preserve">anger </w:t>
      </w:r>
      <w:r w:rsidR="00102B20" w:rsidRPr="006E2AFE">
        <w:rPr>
          <w:rFonts w:ascii="Times New Roman" w:hAnsi="Times New Roman" w:cs="Times New Roman"/>
          <w:sz w:val="24"/>
          <w:szCs w:val="24"/>
          <w:lang w:bidi="en-US"/>
        </w:rPr>
        <w:t>machine learning package</w:t>
      </w:r>
      <w:r w:rsidR="00102B20">
        <w:rPr>
          <w:rFonts w:ascii="Times New Roman" w:hAnsi="Times New Roman" w:cs="Times New Roman"/>
          <w:sz w:val="24"/>
          <w:szCs w:val="24"/>
          <w:lang w:bidi="en-US"/>
        </w:rPr>
        <w:t xml:space="preserve"> </w:t>
      </w:r>
      <w:r w:rsidR="00102B20">
        <w:rPr>
          <w:rFonts w:ascii="Times New Roman" w:hAnsi="Times New Roman" w:cs="Times New Roman"/>
          <w:sz w:val="24"/>
          <w:szCs w:val="24"/>
          <w:lang w:bidi="en-US"/>
        </w:rPr>
        <w:fldChar w:fldCharType="begin"/>
      </w:r>
      <w:r w:rsidR="00102B20">
        <w:rPr>
          <w:rFonts w:ascii="Times New Roman" w:hAnsi="Times New Roman" w:cs="Times New Roman"/>
          <w:sz w:val="24"/>
          <w:szCs w:val="24"/>
          <w:lang w:bidi="en-US"/>
        </w:rPr>
        <w:instrText xml:space="preserve"> ADDIN ZOTERO_ITEM CSL_CITATION {"citationID":"eFC13GFR","properties":{"formattedCitation":"(Wright et al., 2022)","plainCitation":"(Wright et al., 2022)","noteIndex":0},"citationItems":[{"id":4136,"uris":["http://zotero.org/users/5823779/items/H73DMGIE"],"itemData":{"id":4136,"type":"book","abstract":"A fast implementation of Random Forests, particularly suited for high dimensional data. Ensembles of classification, regression, survival and probability prediction trees are supported. Data from genome-wide association studies can be analyzed efficiently. In addition to data frames, datasets of class 'gwaa.data' (R package 'GenABEL') and 'dgCMatrix' (R package 'Matrix') can be directly analyzed.","source":"R-Packages","title":"ranger: A Fast Implementation of Random Forests","title-short":"ranger","URL":"https://CRAN.R-project.org/package=ranger","version":"0.14.1","author":[{"family":"Wright","given":"Marvin N."},{"family":"Wager","given":"Stefan"},{"family":"Probst","given":"Philipp"}],"accessed":{"date-parts":[["2022",9,20]]},"issued":{"date-parts":[["2022",6,18]]}}}],"schema":"https://github.com/citation-style-language/schema/raw/master/csl-citation.json"} </w:instrText>
      </w:r>
      <w:r w:rsidR="00102B20">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(Wright et al., 2022)</w:t>
      </w:r>
      <w:r w:rsidR="00102B20">
        <w:rPr>
          <w:rFonts w:ascii="Times New Roman" w:hAnsi="Times New Roman" w:cs="Times New Roman"/>
          <w:sz w:val="24"/>
          <w:szCs w:val="24"/>
          <w:lang w:bidi="en-US"/>
        </w:rPr>
        <w:fldChar w:fldCharType="end"/>
      </w:r>
      <w:r w:rsidRPr="006E2AFE">
        <w:rPr>
          <w:rFonts w:ascii="Times New Roman" w:hAnsi="Times New Roman" w:cs="Times New Roman"/>
          <w:sz w:val="24"/>
          <w:szCs w:val="24"/>
          <w:lang w:bidi="en-US"/>
        </w:rPr>
        <w:t xml:space="preserve">, </w:t>
      </w:r>
      <w:r w:rsidRPr="001F6424">
        <w:rPr>
          <w:rStyle w:val="Hyperlink"/>
          <w:rFonts w:ascii="Times New Roman" w:hAnsi="Times New Roman" w:cs="Times New Roman"/>
          <w:color w:val="auto"/>
          <w:sz w:val="24"/>
          <w:szCs w:val="24"/>
          <w:u w:val="none"/>
        </w:rPr>
        <w:t xml:space="preserve">the </w:t>
      </w:r>
      <w:r w:rsidR="00FF5B89" w:rsidRPr="001F6424">
        <w:rPr>
          <w:rStyle w:val="Hyperlink"/>
          <w:rFonts w:ascii="Times New Roman" w:hAnsi="Times New Roman" w:cs="Times New Roman"/>
          <w:color w:val="auto"/>
          <w:sz w:val="24"/>
          <w:szCs w:val="24"/>
          <w:u w:val="none"/>
        </w:rPr>
        <w:t xml:space="preserve">e1071 </w:t>
      </w:r>
      <w:r w:rsidRPr="001F6424">
        <w:rPr>
          <w:rStyle w:val="Hyperlink"/>
          <w:rFonts w:ascii="Times New Roman" w:hAnsi="Times New Roman" w:cs="Times New Roman"/>
          <w:color w:val="auto"/>
          <w:sz w:val="24"/>
          <w:szCs w:val="24"/>
          <w:u w:val="none"/>
        </w:rPr>
        <w:t>package</w:t>
      </w:r>
      <w:r w:rsidR="00FF5B89" w:rsidRPr="001F6424">
        <w:rPr>
          <w:rFonts w:ascii="Times New Roman" w:hAnsi="Times New Roman" w:cs="Times New Roman"/>
          <w:sz w:val="24"/>
          <w:szCs w:val="24"/>
          <w:lang w:bidi="en-US"/>
        </w:rPr>
        <w:t xml:space="preserve"> </w:t>
      </w:r>
      <w:r w:rsidR="00FF5B89">
        <w:rPr>
          <w:rFonts w:ascii="Times New Roman" w:hAnsi="Times New Roman" w:cs="Times New Roman"/>
          <w:sz w:val="24"/>
          <w:szCs w:val="24"/>
          <w:lang w:bidi="en-US"/>
        </w:rPr>
        <w:fldChar w:fldCharType="begin"/>
      </w:r>
      <w:r w:rsidR="002A666A">
        <w:rPr>
          <w:rFonts w:ascii="Times New Roman" w:hAnsi="Times New Roman" w:cs="Times New Roman"/>
          <w:sz w:val="24"/>
          <w:szCs w:val="24"/>
          <w:lang w:bidi="en-US"/>
        </w:rPr>
        <w:instrText xml:space="preserve"> ADDIN ZOTERO_ITEM CSL_CITATION {"citationID":"6SMQ6RyW","properties":{"formattedCitation":"(Meyer et al., 2021)","plainCitation":"(Meyer et al., 2021)","noteIndex":0},"citationItems":[{"id":3497,"uris":["http://zotero.org/users/5823779/items/GFBSTARA"],"itemData":{"id":3497,"type":"book","abstract":"Functions for latent class analysis, short time Fourier transform, fuzzy clustering, support vector machines, shortest path computation, bagged clustering, naive Bayes classifier, generalized k-nearest neighbour ...","source":"R-Packages","title":"e1071: Misc Functions of the Department of Statistics, Probability Theory Group (Formerly: E1071), TU Wien","title-short":"e1071","URL":"https://CRAN.R-project.org/package=e1071","version":"1.7-9","author":[{"family":"Meyer","given":"David"},{"family":"Dimitriadou","given":"Evgenia"},{"family":"Hornik","given":"Kurt"},{"family":"Weingessel","given":"Andreas"},{"family":"Leisch","given":"Friedrich"},{"family":"C++-code)","given":"Chih-Chung Chang (libsvm"},{"family":"C++-code)","given":"Chih-Chen Lin (libsvm"}],"accessed":{"date-parts":[["2022",1,5]]},"issued":{"date-parts":[["2021",9,16]]}}}],"schema":"https://github.com/citation-style-language/schema/raw/master/csl-citation.json"} </w:instrText>
      </w:r>
      <w:r w:rsidR="00FF5B89">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(Meyer et al., 2021)</w:t>
      </w:r>
      <w:r w:rsidR="00FF5B89">
        <w:rPr>
          <w:rFonts w:ascii="Times New Roman" w:hAnsi="Times New Roman" w:cs="Times New Roman"/>
          <w:sz w:val="24"/>
          <w:szCs w:val="24"/>
          <w:lang w:bidi="en-US"/>
        </w:rPr>
        <w:fldChar w:fldCharType="end"/>
      </w:r>
      <w:r w:rsidR="00184876">
        <w:rPr>
          <w:rFonts w:ascii="Times New Roman" w:hAnsi="Times New Roman" w:cs="Times New Roman"/>
          <w:sz w:val="24"/>
          <w:szCs w:val="24"/>
        </w:rPr>
        <w:t>, the Extra</w:t>
      </w:r>
      <w:r w:rsidR="009E68A8">
        <w:rPr>
          <w:rFonts w:ascii="Times New Roman" w:hAnsi="Times New Roman" w:cs="Times New Roman"/>
          <w:sz w:val="24"/>
          <w:szCs w:val="24"/>
        </w:rPr>
        <w:t xml:space="preserve"> </w:t>
      </w:r>
      <w:r w:rsidR="00184876">
        <w:rPr>
          <w:rFonts w:ascii="Times New Roman" w:hAnsi="Times New Roman" w:cs="Times New Roman"/>
          <w:sz w:val="24"/>
          <w:szCs w:val="24"/>
        </w:rPr>
        <w:t xml:space="preserve">Trees package </w:t>
      </w:r>
      <w:r w:rsidR="00184876">
        <w:rPr>
          <w:rFonts w:ascii="Times New Roman" w:hAnsi="Times New Roman" w:cs="Times New Roman"/>
          <w:sz w:val="24"/>
          <w:szCs w:val="24"/>
        </w:rPr>
        <w:fldChar w:fldCharType="begin"/>
      </w:r>
      <w:r w:rsidR="002A666A">
        <w:rPr>
          <w:rFonts w:ascii="Times New Roman" w:hAnsi="Times New Roman" w:cs="Times New Roman"/>
          <w:sz w:val="24"/>
          <w:szCs w:val="24"/>
        </w:rPr>
        <w:instrText xml:space="preserve"> ADDIN ZOTERO_ITEM CSL_CITATION {"citationID":"1ukx3qXO","properties":{"formattedCitation":"(Simm and Abril, 2014)","plainCitation":"(Simm and Abril, 2014)","noteIndex":0},"citationItems":[{"id":3096,"uris":["http://zotero.org/users/5823779/items/2AVQ5DSI"],"itemData":{"id":3096,"type":"book","abstract":"Classification and regression based on an ensemble of decision trees. The package also provides extensions of ExtraTrees to multi-task learning and quantile regression. Uses Java implementation of the method.","source":"R-Packages","title":"extraTrees: Extremely Randomized Trees (ExtraTrees) Method for Classification and Regression","title-short":"extraTrees","URL":"https://CRAN.R-project.org/package=extraTrees","version":"1.0.5","author":[{"family":"Simm","given":"Jaak"},{"family":"Abril","given":"Ildefons Magrans","dropping-particle":"de"}],"accessed":{"date-parts":[["2021",6,23]]},"issued":{"date-parts":[["2014",12,27]]}}}],"schema":"https://github.com/citation-style-language/schema/raw/master/csl-citation.json"} </w:instrText>
      </w:r>
      <w:r w:rsidR="00184876">
        <w:rPr>
          <w:rFonts w:ascii="Times New Roman" w:hAnsi="Times New Roman" w:cs="Times New Roman"/>
          <w:sz w:val="24"/>
          <w:szCs w:val="24"/>
        </w:rPr>
        <w:fldChar w:fldCharType="separate"/>
      </w:r>
      <w:r w:rsidR="00F31A70" w:rsidRPr="00F31A70">
        <w:rPr>
          <w:rFonts w:ascii="Times New Roman" w:hAnsi="Times New Roman" w:cs="Times New Roman"/>
          <w:sz w:val="24"/>
        </w:rPr>
        <w:t>(Simm and Abril, 2014)</w:t>
      </w:r>
      <w:r w:rsidR="00184876">
        <w:rPr>
          <w:rFonts w:ascii="Times New Roman" w:hAnsi="Times New Roman" w:cs="Times New Roman"/>
          <w:sz w:val="24"/>
          <w:szCs w:val="24"/>
        </w:rPr>
        <w:fldChar w:fldCharType="end"/>
      </w:r>
      <w:r w:rsidR="00184876">
        <w:rPr>
          <w:rFonts w:ascii="Times New Roman" w:hAnsi="Times New Roman" w:cs="Times New Roman"/>
          <w:sz w:val="24"/>
          <w:szCs w:val="24"/>
        </w:rPr>
        <w:t>,</w:t>
      </w:r>
      <w:r w:rsidRPr="006E2AFE">
        <w:rPr>
          <w:rFonts w:ascii="Times New Roman" w:hAnsi="Times New Roman" w:cs="Times New Roman"/>
          <w:sz w:val="24"/>
          <w:szCs w:val="24"/>
          <w:lang w:bidi="en-US"/>
        </w:rPr>
        <w:t xml:space="preserve"> </w:t>
      </w:r>
      <w:r w:rsidR="001D2527">
        <w:rPr>
          <w:rFonts w:ascii="Times New Roman" w:hAnsi="Times New Roman" w:cs="Times New Roman"/>
          <w:sz w:val="24"/>
          <w:szCs w:val="24"/>
          <w:lang w:bidi="en-US"/>
        </w:rPr>
        <w:t xml:space="preserve">the GBM package </w:t>
      </w:r>
      <w:r w:rsidR="00F525EC">
        <w:rPr>
          <w:rFonts w:ascii="Times New Roman" w:hAnsi="Times New Roman" w:cs="Times New Roman"/>
          <w:sz w:val="24"/>
          <w:szCs w:val="24"/>
          <w:lang w:bidi="en-US"/>
        </w:rPr>
        <w:fldChar w:fldCharType="begin"/>
      </w:r>
      <w:r w:rsidR="00F525EC">
        <w:rPr>
          <w:rFonts w:ascii="Times New Roman" w:hAnsi="Times New Roman" w:cs="Times New Roman"/>
          <w:sz w:val="24"/>
          <w:szCs w:val="24"/>
          <w:lang w:bidi="en-US"/>
        </w:rPr>
        <w:instrText xml:space="preserve"> ADDIN ZOTERO_ITEM CSL_CITATION {"citationID":"dKOzrtqN","properties":{"formattedCitation":"(Greenwell et al., 2020)","plainCitation":"(Greenwell et al., 2020)","noteIndex":0},"citationItems":[{"id":2772,"uris":["http://zotero.org/users/5823779/items/VG2JT8BG"],"itemData":{"id":2772,"type":"book","abstract":"An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Ridgeway.","source":"R-Packages","title":"gbm: Generalized Boosted Regression Models","title-short":"gbm","URL":"https://CRAN.R-project.org/package=gbm","version":"2.1.8","author":[{"family":"Greenwell","given":"Brandon"},{"family":"Boehmke","given":"Bradley"},{"family":"Cunningham","given":"Jay"},{"family":"Developers  (https://github.com/gbm-developers)","given":"G. B. M."}],"accessed":{"date-parts":[["2021",2,25]]},"issued":{"date-parts":[["2020",7,15]]}}}],"schema":"https://github.com/citation-style-language/schema/raw/master/csl-citation.json"} </w:instrText>
      </w:r>
      <w:r w:rsidR="00F525EC">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(Greenwell et al., 2020)</w:t>
      </w:r>
      <w:r w:rsidR="00F525EC">
        <w:rPr>
          <w:rFonts w:ascii="Times New Roman" w:hAnsi="Times New Roman" w:cs="Times New Roman"/>
          <w:sz w:val="24"/>
          <w:szCs w:val="24"/>
          <w:lang w:bidi="en-US"/>
        </w:rPr>
        <w:fldChar w:fldCharType="end"/>
      </w:r>
      <w:r w:rsidR="001D2527">
        <w:rPr>
          <w:rFonts w:ascii="Times New Roman" w:hAnsi="Times New Roman" w:cs="Times New Roman"/>
          <w:sz w:val="24"/>
          <w:szCs w:val="24"/>
          <w:lang w:bidi="en-US"/>
        </w:rPr>
        <w:t xml:space="preserve">, </w:t>
      </w:r>
      <w:r w:rsidRPr="006E2AFE">
        <w:rPr>
          <w:rFonts w:ascii="Times New Roman" w:hAnsi="Times New Roman" w:cs="Times New Roman"/>
          <w:sz w:val="24"/>
          <w:szCs w:val="24"/>
          <w:lang w:bidi="en-US"/>
        </w:rPr>
        <w:t xml:space="preserve">the caret package </w:t>
      </w:r>
      <w:r w:rsidRPr="006E2AFE">
        <w:rPr>
          <w:rFonts w:ascii="Times New Roman" w:hAnsi="Times New Roman" w:cs="Times New Roman"/>
          <w:sz w:val="24"/>
          <w:szCs w:val="24"/>
          <w:lang w:bidi="en-US"/>
        </w:rPr>
        <w:fldChar w:fldCharType="begin"/>
      </w:r>
      <w:r w:rsidR="002A666A">
        <w:rPr>
          <w:rFonts w:ascii="Times New Roman" w:hAnsi="Times New Roman" w:cs="Times New Roman"/>
          <w:sz w:val="24"/>
          <w:szCs w:val="24"/>
          <w:lang w:bidi="en-US"/>
        </w:rPr>
        <w:instrText xml:space="preserve"> ADDIN ZOTERO_ITEM CSL_CITATION {"citationID":"YGRNKloq","properties":{"formattedCitation":"(Kuhn et al., 2020)","plainCitation":"(Kuhn et al., 2020)","noteIndex":0},"citationItems":[{"id":2807,"uris":["http://zotero.org/users/5823779/items/DNJMBBAD"],"itemData":{"id":2807,"type":"book","abstract":"Misc functions for training and plotting classification and regression models.","source":"R-Packages","title":"caret: Classification and Regression Training","title-short":"caret","URL":"https://CRAN.R-project.org/package=caret","version":"6.0-86","author":[{"family":"Kuhn","given":"Max"},{"family":"Wing","given":"Jed"},{"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2021",3,8]]},"issued":{"date-parts":[["2020",3,20]]}}}],"schema":"https://github.com/citation-style-language/schema/raw/master/csl-citation.json"} </w:instrText>
      </w:r>
      <w:r w:rsidRPr="006E2AFE">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(Kuhn et al., 2020)</w:t>
      </w:r>
      <w:r w:rsidRPr="006E2AFE">
        <w:rPr>
          <w:rFonts w:ascii="Times New Roman" w:hAnsi="Times New Roman" w:cs="Times New Roman"/>
          <w:sz w:val="24"/>
          <w:szCs w:val="24"/>
        </w:rPr>
        <w:fldChar w:fldCharType="end"/>
      </w:r>
      <w:r w:rsidR="002B7BB9">
        <w:rPr>
          <w:rFonts w:ascii="Times New Roman" w:hAnsi="Times New Roman" w:cs="Times New Roman"/>
          <w:sz w:val="24"/>
          <w:szCs w:val="24"/>
        </w:rPr>
        <w:t xml:space="preserve"> and the </w:t>
      </w:r>
      <w:proofErr w:type="spellStart"/>
      <w:r w:rsidR="002B7BB9">
        <w:rPr>
          <w:rFonts w:ascii="Times New Roman" w:hAnsi="Times New Roman" w:cs="Times New Roman"/>
          <w:sz w:val="24"/>
          <w:szCs w:val="24"/>
        </w:rPr>
        <w:t>fastshap</w:t>
      </w:r>
      <w:proofErr w:type="spellEnd"/>
      <w:r w:rsidR="002B7BB9">
        <w:rPr>
          <w:rFonts w:ascii="Times New Roman" w:hAnsi="Times New Roman" w:cs="Times New Roman"/>
          <w:sz w:val="24"/>
          <w:szCs w:val="24"/>
        </w:rPr>
        <w:t xml:space="preserve"> package </w:t>
      </w:r>
      <w:r w:rsidR="002B7BB9">
        <w:rPr>
          <w:rFonts w:ascii="Times New Roman" w:hAnsi="Times New Roman" w:cs="Times New Roman"/>
          <w:sz w:val="24"/>
          <w:szCs w:val="24"/>
        </w:rPr>
        <w:fldChar w:fldCharType="begin"/>
      </w:r>
      <w:r w:rsidR="002B7BB9">
        <w:rPr>
          <w:rFonts w:ascii="Times New Roman" w:hAnsi="Times New Roman" w:cs="Times New Roman"/>
          <w:sz w:val="24"/>
          <w:szCs w:val="24"/>
        </w:rPr>
        <w:instrText xml:space="preserve"> ADDIN ZOTERO_ITEM CSL_CITATION {"citationID":"XTaJFscV","properties":{"formattedCitation":"(Greenwell, 2021)","plainCitation":"(Greenwell, 2021)","noteIndex":0},"citationItems":[{"id":3684,"uris":["http://zotero.org/users/5823779/items/YAHXFPR8"],"itemData":{"id":3684,"type":"book","abstract":"Computes fast (relative to other implementations) approximate Shapley values for any supervised learning model. Shapley values help to explain the predictions from any black box model using ideas from game theory; see Strumbel and Kononenko (2014) &lt;doi:10.1007/s10115-013-0679-x&gt; for details.","source":"R-Packages","title":"fastshap: Fast Approximate Shapley Values","title-short":"fastshap","URL":"https://CRAN.R-project.org/package=fastshap","version":"0.0.7","author":[{"family":"Greenwell","given":"Brandon"}],"accessed":{"date-parts":[["2022",6,21]]},"issued":{"date-parts":[["2021",12,6]]}}}],"schema":"https://github.com/citation-style-language/schema/raw/master/csl-citation.json"} </w:instrText>
      </w:r>
      <w:r w:rsidR="002B7BB9">
        <w:rPr>
          <w:rFonts w:ascii="Times New Roman" w:hAnsi="Times New Roman" w:cs="Times New Roman"/>
          <w:sz w:val="24"/>
          <w:szCs w:val="24"/>
        </w:rPr>
        <w:fldChar w:fldCharType="separate"/>
      </w:r>
      <w:r w:rsidR="00F31A70" w:rsidRPr="00F31A70">
        <w:rPr>
          <w:rFonts w:ascii="Times New Roman" w:hAnsi="Times New Roman" w:cs="Times New Roman"/>
          <w:sz w:val="24"/>
        </w:rPr>
        <w:t>(Greenwell, 2021)</w:t>
      </w:r>
      <w:r w:rsidR="002B7BB9">
        <w:rPr>
          <w:rFonts w:ascii="Times New Roman" w:hAnsi="Times New Roman" w:cs="Times New Roman"/>
          <w:sz w:val="24"/>
          <w:szCs w:val="24"/>
        </w:rPr>
        <w:fldChar w:fldCharType="end"/>
      </w:r>
      <w:r w:rsidR="002B7BB9" w:rsidRPr="006E2AFE">
        <w:rPr>
          <w:rFonts w:ascii="Times New Roman" w:hAnsi="Times New Roman" w:cs="Times New Roman"/>
          <w:sz w:val="24"/>
          <w:szCs w:val="24"/>
          <w:lang w:bidi="en-US"/>
        </w:rPr>
        <w:t xml:space="preserve">. </w:t>
      </w:r>
      <w:bookmarkEnd w:id="1"/>
    </w:p>
    <w:bookmarkEnd w:id="2"/>
    <w:p w14:paraId="55BBC592" w14:textId="77777777" w:rsidR="00D45BAD" w:rsidRDefault="00D45BAD" w:rsidP="00291944">
      <w:pPr>
        <w:spacing w:after="0" w:line="480" w:lineRule="auto"/>
        <w:ind w:firstLine="720"/>
        <w:rPr>
          <w:rFonts w:ascii="Times New Roman" w:hAnsi="Times New Roman" w:cs="Times New Roman"/>
          <w:sz w:val="24"/>
          <w:szCs w:val="24"/>
        </w:rPr>
      </w:pPr>
    </w:p>
    <w:p w14:paraId="22D458D9" w14:textId="75B29519" w:rsidR="00A31F3E" w:rsidRPr="00FF7357" w:rsidRDefault="005164AC" w:rsidP="00670A88">
      <w:pPr>
        <w:spacing w:after="0" w:line="480" w:lineRule="auto"/>
        <w:rPr>
          <w:rFonts w:ascii="Times New Roman" w:hAnsi="Times New Roman" w:cs="Times New Roman"/>
          <w:b/>
          <w:sz w:val="24"/>
          <w:szCs w:val="24"/>
        </w:rPr>
      </w:pPr>
      <w:r>
        <w:rPr>
          <w:rFonts w:ascii="Times New Roman" w:hAnsi="Times New Roman" w:cs="Times New Roman"/>
          <w:b/>
          <w:sz w:val="24"/>
          <w:szCs w:val="24"/>
        </w:rPr>
        <w:t>4</w:t>
      </w:r>
      <w:r w:rsidR="00FF7357">
        <w:rPr>
          <w:rFonts w:ascii="Times New Roman" w:hAnsi="Times New Roman" w:cs="Times New Roman"/>
          <w:b/>
          <w:sz w:val="24"/>
          <w:szCs w:val="24"/>
        </w:rPr>
        <w:t xml:space="preserve">. </w:t>
      </w:r>
      <w:r w:rsidR="00A31F3E" w:rsidRPr="00FF7357">
        <w:rPr>
          <w:rFonts w:ascii="Times New Roman" w:hAnsi="Times New Roman" w:cs="Times New Roman"/>
          <w:b/>
          <w:sz w:val="24"/>
          <w:szCs w:val="24"/>
        </w:rPr>
        <w:t>Data</w:t>
      </w:r>
    </w:p>
    <w:p w14:paraId="306D92A0" w14:textId="42F3CABF" w:rsidR="00BF3434" w:rsidRDefault="006E2AFE" w:rsidP="006E2AFE">
      <w:pPr>
        <w:spacing w:after="0" w:line="480" w:lineRule="auto"/>
        <w:ind w:firstLine="720"/>
        <w:rPr>
          <w:rFonts w:ascii="Times New Roman" w:hAnsi="Times New Roman" w:cs="Times New Roman"/>
          <w:sz w:val="24"/>
          <w:szCs w:val="24"/>
          <w:lang w:bidi="en-US"/>
        </w:rPr>
      </w:pPr>
      <w:r w:rsidRPr="006E2AFE">
        <w:rPr>
          <w:rFonts w:ascii="Times New Roman" w:hAnsi="Times New Roman" w:cs="Times New Roman"/>
          <w:sz w:val="24"/>
          <w:szCs w:val="24"/>
          <w:lang w:bidi="en-US"/>
        </w:rPr>
        <w:t xml:space="preserve">The study </w:t>
      </w:r>
      <w:r w:rsidR="005A4BCE">
        <w:rPr>
          <w:rFonts w:ascii="Times New Roman" w:hAnsi="Times New Roman" w:cs="Times New Roman"/>
          <w:sz w:val="24"/>
          <w:szCs w:val="24"/>
          <w:lang w:bidi="en-US"/>
        </w:rPr>
        <w:t xml:space="preserve">used data on </w:t>
      </w:r>
      <w:r w:rsidR="00BF3434">
        <w:rPr>
          <w:rFonts w:ascii="Times New Roman" w:hAnsi="Times New Roman" w:cs="Times New Roman"/>
          <w:sz w:val="24"/>
          <w:szCs w:val="24"/>
          <w:lang w:bidi="en-US"/>
        </w:rPr>
        <w:t>clean</w:t>
      </w:r>
      <w:r w:rsidR="00BB2B1B">
        <w:rPr>
          <w:rFonts w:ascii="Times New Roman" w:hAnsi="Times New Roman" w:cs="Times New Roman"/>
          <w:sz w:val="24"/>
          <w:szCs w:val="24"/>
          <w:lang w:bidi="en-US"/>
        </w:rPr>
        <w:t xml:space="preserve"> </w:t>
      </w:r>
      <w:r w:rsidR="00112612">
        <w:rPr>
          <w:rFonts w:ascii="Times New Roman" w:hAnsi="Times New Roman" w:cs="Times New Roman"/>
          <w:sz w:val="24"/>
          <w:szCs w:val="24"/>
          <w:lang w:bidi="en-US"/>
        </w:rPr>
        <w:t xml:space="preserve">energy </w:t>
      </w:r>
      <w:r w:rsidR="00BB2B1B">
        <w:rPr>
          <w:rFonts w:ascii="Times New Roman" w:hAnsi="Times New Roman" w:cs="Times New Roman"/>
          <w:sz w:val="24"/>
          <w:szCs w:val="24"/>
          <w:lang w:bidi="en-US"/>
        </w:rPr>
        <w:t xml:space="preserve">stock prices, </w:t>
      </w:r>
      <w:r w:rsidR="00BF3434">
        <w:rPr>
          <w:rFonts w:ascii="Times New Roman" w:hAnsi="Times New Roman" w:cs="Times New Roman"/>
          <w:sz w:val="24"/>
          <w:szCs w:val="24"/>
          <w:lang w:bidi="en-US"/>
        </w:rPr>
        <w:t>stock market volatility</w:t>
      </w:r>
      <w:r w:rsidR="00BB2B1B">
        <w:rPr>
          <w:rFonts w:ascii="Times New Roman" w:hAnsi="Times New Roman" w:cs="Times New Roman"/>
          <w:sz w:val="24"/>
          <w:szCs w:val="24"/>
          <w:lang w:bidi="en-US"/>
        </w:rPr>
        <w:t xml:space="preserve">, </w:t>
      </w:r>
      <w:r w:rsidR="00BF3434">
        <w:rPr>
          <w:rFonts w:ascii="Times New Roman" w:hAnsi="Times New Roman" w:cs="Times New Roman"/>
          <w:sz w:val="24"/>
          <w:szCs w:val="24"/>
          <w:lang w:bidi="en-US"/>
        </w:rPr>
        <w:t xml:space="preserve">oil market volatility, technology stock market volatility, economic market uncertainty, economic policy uncertainty, and the equity market infectious disease tracker. Clean energy stock prices are measured using three </w:t>
      </w:r>
      <w:r w:rsidR="00480E8A">
        <w:rPr>
          <w:rFonts w:ascii="Times New Roman" w:hAnsi="Times New Roman" w:cs="Times New Roman"/>
          <w:sz w:val="24"/>
          <w:szCs w:val="24"/>
          <w:lang w:bidi="en-US"/>
        </w:rPr>
        <w:t xml:space="preserve">of the most widely traded clean energy </w:t>
      </w:r>
      <w:r w:rsidR="00BF3434">
        <w:rPr>
          <w:rFonts w:ascii="Times New Roman" w:hAnsi="Times New Roman" w:cs="Times New Roman"/>
          <w:sz w:val="24"/>
          <w:szCs w:val="24"/>
          <w:lang w:bidi="en-US"/>
        </w:rPr>
        <w:t xml:space="preserve">exchange traded funds (ETFs). </w:t>
      </w:r>
      <w:r w:rsidR="00BF3434" w:rsidRPr="00BF3434">
        <w:rPr>
          <w:rFonts w:ascii="Times New Roman" w:hAnsi="Times New Roman" w:cs="Times New Roman"/>
          <w:sz w:val="24"/>
          <w:szCs w:val="24"/>
          <w:lang w:bidi="en-US"/>
        </w:rPr>
        <w:t xml:space="preserve">The Invesco </w:t>
      </w:r>
      <w:proofErr w:type="spellStart"/>
      <w:r w:rsidR="00BF3434" w:rsidRPr="00BF3434">
        <w:rPr>
          <w:rFonts w:ascii="Times New Roman" w:hAnsi="Times New Roman" w:cs="Times New Roman"/>
          <w:sz w:val="24"/>
          <w:szCs w:val="24"/>
          <w:lang w:bidi="en-US"/>
        </w:rPr>
        <w:t>WilderHill</w:t>
      </w:r>
      <w:proofErr w:type="spellEnd"/>
      <w:r w:rsidR="00BF3434" w:rsidRPr="00BF3434">
        <w:rPr>
          <w:rFonts w:ascii="Times New Roman" w:hAnsi="Times New Roman" w:cs="Times New Roman"/>
          <w:sz w:val="24"/>
          <w:szCs w:val="24"/>
          <w:lang w:bidi="en-US"/>
        </w:rPr>
        <w:t xml:space="preserve"> Clean Energy ETF </w:t>
      </w:r>
      <w:r w:rsidR="00BF3434">
        <w:rPr>
          <w:rFonts w:ascii="Times New Roman" w:hAnsi="Times New Roman" w:cs="Times New Roman"/>
          <w:sz w:val="24"/>
          <w:szCs w:val="24"/>
          <w:lang w:bidi="en-US"/>
        </w:rPr>
        <w:t xml:space="preserve">(PBW) </w:t>
      </w:r>
      <w:r w:rsidR="00BF3434" w:rsidRPr="00BF3434">
        <w:rPr>
          <w:rFonts w:ascii="Times New Roman" w:hAnsi="Times New Roman" w:cs="Times New Roman"/>
          <w:sz w:val="24"/>
          <w:szCs w:val="24"/>
          <w:lang w:bidi="en-US"/>
        </w:rPr>
        <w:t xml:space="preserve">is based on the </w:t>
      </w:r>
      <w:proofErr w:type="spellStart"/>
      <w:r w:rsidR="00BF3434" w:rsidRPr="00BF3434">
        <w:rPr>
          <w:rFonts w:ascii="Times New Roman" w:hAnsi="Times New Roman" w:cs="Times New Roman"/>
          <w:sz w:val="24"/>
          <w:szCs w:val="24"/>
          <w:lang w:bidi="en-US"/>
        </w:rPr>
        <w:t>WilderHill</w:t>
      </w:r>
      <w:proofErr w:type="spellEnd"/>
      <w:r w:rsidR="00BF3434" w:rsidRPr="00BF3434">
        <w:rPr>
          <w:rFonts w:ascii="Times New Roman" w:hAnsi="Times New Roman" w:cs="Times New Roman"/>
          <w:sz w:val="24"/>
          <w:szCs w:val="24"/>
          <w:lang w:bidi="en-US"/>
        </w:rPr>
        <w:t xml:space="preserve"> Clean Energy Index.  The </w:t>
      </w:r>
      <w:proofErr w:type="spellStart"/>
      <w:r w:rsidR="005A4BCE" w:rsidRPr="00BF3434">
        <w:rPr>
          <w:rFonts w:ascii="Times New Roman" w:hAnsi="Times New Roman" w:cs="Times New Roman"/>
          <w:sz w:val="24"/>
          <w:szCs w:val="24"/>
          <w:lang w:bidi="en-US"/>
        </w:rPr>
        <w:t>WilderHill</w:t>
      </w:r>
      <w:proofErr w:type="spellEnd"/>
      <w:r w:rsidR="005A4BCE" w:rsidRPr="00BF3434">
        <w:rPr>
          <w:rFonts w:ascii="Times New Roman" w:hAnsi="Times New Roman" w:cs="Times New Roman"/>
          <w:sz w:val="24"/>
          <w:szCs w:val="24"/>
          <w:lang w:bidi="en-US"/>
        </w:rPr>
        <w:t xml:space="preserve"> Clean Energy Index</w:t>
      </w:r>
      <w:r w:rsidR="00BF3434" w:rsidRPr="00BF3434">
        <w:rPr>
          <w:rFonts w:ascii="Times New Roman" w:hAnsi="Times New Roman" w:cs="Times New Roman"/>
          <w:sz w:val="24"/>
          <w:szCs w:val="24"/>
          <w:lang w:bidi="en-US"/>
        </w:rPr>
        <w:t xml:space="preserve"> is </w:t>
      </w:r>
      <w:r w:rsidR="005A4BCE">
        <w:rPr>
          <w:rFonts w:ascii="Times New Roman" w:hAnsi="Times New Roman" w:cs="Times New Roman"/>
          <w:sz w:val="24"/>
          <w:szCs w:val="24"/>
          <w:lang w:bidi="en-US"/>
        </w:rPr>
        <w:t xml:space="preserve">a collection </w:t>
      </w:r>
      <w:r w:rsidR="00BF3434" w:rsidRPr="00BF3434">
        <w:rPr>
          <w:rFonts w:ascii="Times New Roman" w:hAnsi="Times New Roman" w:cs="Times New Roman"/>
          <w:sz w:val="24"/>
          <w:szCs w:val="24"/>
          <w:lang w:bidi="en-US"/>
        </w:rPr>
        <w:t>of stocks of publicly traded companies listed on a major exchange in the U.S. that are engaged in the business of the advancement of cleaner energy and conservation or are important to the development of clean energy. PBW holds about 80 stocks.</w:t>
      </w:r>
      <w:r w:rsidR="00BF3434">
        <w:rPr>
          <w:rFonts w:ascii="Times New Roman" w:hAnsi="Times New Roman" w:cs="Times New Roman"/>
          <w:sz w:val="24"/>
          <w:szCs w:val="24"/>
          <w:lang w:bidi="en-US"/>
        </w:rPr>
        <w:t xml:space="preserve"> As of April 30, 2022, the top 10 holdings comprised 22% of total assets. The second clean energy </w:t>
      </w:r>
      <w:r w:rsidR="00B62D15">
        <w:rPr>
          <w:rFonts w:ascii="Times New Roman" w:hAnsi="Times New Roman" w:cs="Times New Roman"/>
          <w:sz w:val="24"/>
          <w:szCs w:val="24"/>
          <w:lang w:bidi="en-US"/>
        </w:rPr>
        <w:t xml:space="preserve">ETF is the ICLN. </w:t>
      </w:r>
      <w:r w:rsidR="00B62D15" w:rsidRPr="00B62D15">
        <w:rPr>
          <w:rFonts w:ascii="Times New Roman" w:hAnsi="Times New Roman" w:cs="Times New Roman"/>
          <w:sz w:val="24"/>
          <w:szCs w:val="24"/>
          <w:lang w:bidi="en-US"/>
        </w:rPr>
        <w:t>The ICLN is based on the iShares Global Clean Energy index which is designed to track the performance of approximately 100 global clean energy-related companies.</w:t>
      </w:r>
      <w:r w:rsidR="00B62D15">
        <w:rPr>
          <w:rFonts w:ascii="Times New Roman" w:hAnsi="Times New Roman" w:cs="Times New Roman"/>
          <w:sz w:val="24"/>
          <w:szCs w:val="24"/>
          <w:lang w:bidi="en-US"/>
        </w:rPr>
        <w:t xml:space="preserve"> As of April 30, 2022, the top 10 holdings </w:t>
      </w:r>
      <w:r w:rsidR="00F82568">
        <w:rPr>
          <w:rFonts w:ascii="Times New Roman" w:hAnsi="Times New Roman" w:cs="Times New Roman"/>
          <w:sz w:val="24"/>
          <w:szCs w:val="24"/>
          <w:lang w:bidi="en-US"/>
        </w:rPr>
        <w:t>accounted for</w:t>
      </w:r>
      <w:r w:rsidR="00B62D15">
        <w:rPr>
          <w:rFonts w:ascii="Times New Roman" w:hAnsi="Times New Roman" w:cs="Times New Roman"/>
          <w:sz w:val="24"/>
          <w:szCs w:val="24"/>
          <w:lang w:bidi="en-US"/>
        </w:rPr>
        <w:t xml:space="preserve"> 49% of total assets. The third clean energy ETF is QCLN which is based on the NASDAQ Clean Edge Green Energy Index. </w:t>
      </w:r>
      <w:r w:rsidR="00B62D15" w:rsidRPr="00B62D15">
        <w:rPr>
          <w:rFonts w:ascii="Times New Roman" w:hAnsi="Times New Roman" w:cs="Times New Roman"/>
          <w:sz w:val="24"/>
          <w:szCs w:val="24"/>
          <w:lang w:bidi="en-US"/>
        </w:rPr>
        <w:t xml:space="preserve">The fund tracks the NASDAQ Clean Edge Green Energy Index. The index is designed to track the performance of small, mid and large capitalization clean energy companies that are publicly </w:t>
      </w:r>
      <w:r w:rsidR="00B62D15" w:rsidRPr="00B62D15">
        <w:rPr>
          <w:rFonts w:ascii="Times New Roman" w:hAnsi="Times New Roman" w:cs="Times New Roman"/>
          <w:sz w:val="24"/>
          <w:szCs w:val="24"/>
          <w:lang w:bidi="en-US"/>
        </w:rPr>
        <w:lastRenderedPageBreak/>
        <w:t>traded in the United States. Th</w:t>
      </w:r>
      <w:r w:rsidR="00E73F89">
        <w:rPr>
          <w:rFonts w:ascii="Times New Roman" w:hAnsi="Times New Roman" w:cs="Times New Roman"/>
          <w:sz w:val="24"/>
          <w:szCs w:val="24"/>
          <w:lang w:bidi="en-US"/>
        </w:rPr>
        <w:t>is</w:t>
      </w:r>
      <w:r w:rsidR="00B62D15" w:rsidRPr="00B62D15">
        <w:rPr>
          <w:rFonts w:ascii="Times New Roman" w:hAnsi="Times New Roman" w:cs="Times New Roman"/>
          <w:sz w:val="24"/>
          <w:szCs w:val="24"/>
          <w:lang w:bidi="en-US"/>
        </w:rPr>
        <w:t xml:space="preserve"> ETF holds about 65 stocks.</w:t>
      </w:r>
      <w:r w:rsidR="00B62D15">
        <w:rPr>
          <w:rFonts w:ascii="Times New Roman" w:hAnsi="Times New Roman" w:cs="Times New Roman"/>
          <w:sz w:val="24"/>
          <w:szCs w:val="24"/>
          <w:lang w:bidi="en-US"/>
        </w:rPr>
        <w:t xml:space="preserve"> As of April 30, 2022, the top 10 holdings co</w:t>
      </w:r>
      <w:r w:rsidR="00F82568">
        <w:rPr>
          <w:rFonts w:ascii="Times New Roman" w:hAnsi="Times New Roman" w:cs="Times New Roman"/>
          <w:sz w:val="24"/>
          <w:szCs w:val="24"/>
          <w:lang w:bidi="en-US"/>
        </w:rPr>
        <w:t>nsisted of</w:t>
      </w:r>
      <w:r w:rsidR="00B62D15">
        <w:rPr>
          <w:rFonts w:ascii="Times New Roman" w:hAnsi="Times New Roman" w:cs="Times New Roman"/>
          <w:sz w:val="24"/>
          <w:szCs w:val="24"/>
          <w:lang w:bidi="en-US"/>
        </w:rPr>
        <w:t xml:space="preserve"> 56% of total assets.</w:t>
      </w:r>
    </w:p>
    <w:p w14:paraId="3A0E872B" w14:textId="0E5C9535" w:rsidR="000D003D" w:rsidRDefault="003F0B47" w:rsidP="006E2AFE">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 xml:space="preserve">Stock market volatility is measured </w:t>
      </w:r>
      <w:r w:rsidR="00412FB9">
        <w:rPr>
          <w:rFonts w:ascii="Times New Roman" w:hAnsi="Times New Roman" w:cs="Times New Roman"/>
          <w:sz w:val="24"/>
          <w:szCs w:val="24"/>
          <w:lang w:bidi="en-US"/>
        </w:rPr>
        <w:t>u</w:t>
      </w:r>
      <w:r>
        <w:rPr>
          <w:rFonts w:ascii="Times New Roman" w:hAnsi="Times New Roman" w:cs="Times New Roman"/>
          <w:sz w:val="24"/>
          <w:szCs w:val="24"/>
          <w:lang w:bidi="en-US"/>
        </w:rPr>
        <w:t xml:space="preserve">sing the </w:t>
      </w:r>
      <w:r w:rsidR="00A6788D">
        <w:rPr>
          <w:rFonts w:ascii="Times New Roman" w:hAnsi="Times New Roman" w:cs="Times New Roman"/>
          <w:sz w:val="24"/>
          <w:szCs w:val="24"/>
          <w:lang w:bidi="en-US"/>
        </w:rPr>
        <w:t>well-known</w:t>
      </w:r>
      <w:r>
        <w:rPr>
          <w:rFonts w:ascii="Times New Roman" w:hAnsi="Times New Roman" w:cs="Times New Roman"/>
          <w:sz w:val="24"/>
          <w:szCs w:val="24"/>
          <w:lang w:bidi="en-US"/>
        </w:rPr>
        <w:t xml:space="preserve"> CBOE VIX index </w:t>
      </w:r>
      <w:r w:rsidR="00A6788D">
        <w:rPr>
          <w:rFonts w:ascii="Times New Roman" w:hAnsi="Times New Roman" w:cs="Times New Roman"/>
          <w:sz w:val="24"/>
          <w:szCs w:val="24"/>
          <w:lang w:bidi="en-US"/>
        </w:rPr>
        <w:t>that</w:t>
      </w:r>
      <w:r>
        <w:rPr>
          <w:rFonts w:ascii="Times New Roman" w:hAnsi="Times New Roman" w:cs="Times New Roman"/>
          <w:sz w:val="24"/>
          <w:szCs w:val="24"/>
          <w:lang w:bidi="en-US"/>
        </w:rPr>
        <w:t xml:space="preserve"> tracks the S&amp;P 500 volatility. The VIX is calculated using a complicated formula t</w:t>
      </w:r>
      <w:r w:rsidR="00A6788D">
        <w:rPr>
          <w:rFonts w:ascii="Times New Roman" w:hAnsi="Times New Roman" w:cs="Times New Roman"/>
          <w:sz w:val="24"/>
          <w:szCs w:val="24"/>
          <w:lang w:bidi="en-US"/>
        </w:rPr>
        <w:t>hat</w:t>
      </w:r>
      <w:r>
        <w:rPr>
          <w:rFonts w:ascii="Times New Roman" w:hAnsi="Times New Roman" w:cs="Times New Roman"/>
          <w:sz w:val="24"/>
          <w:szCs w:val="24"/>
          <w:lang w:bidi="en-US"/>
        </w:rPr>
        <w:t xml:space="preserve"> average</w:t>
      </w:r>
      <w:r w:rsidR="00A6788D">
        <w:rPr>
          <w:rFonts w:ascii="Times New Roman" w:hAnsi="Times New Roman" w:cs="Times New Roman"/>
          <w:sz w:val="24"/>
          <w:szCs w:val="24"/>
          <w:lang w:bidi="en-US"/>
        </w:rPr>
        <w:t>s</w:t>
      </w:r>
      <w:r>
        <w:rPr>
          <w:rFonts w:ascii="Times New Roman" w:hAnsi="Times New Roman" w:cs="Times New Roman"/>
          <w:sz w:val="24"/>
          <w:szCs w:val="24"/>
          <w:lang w:bidi="en-US"/>
        </w:rPr>
        <w:t xml:space="preserve"> the weighted prices of out of the money puts and calls that expire in 16 and 44 days on the S&amp;P 500. Technology stock market volatility is measured using VXN which is computed in a similar way as VIX but for the NASDAQ 100 stocks. </w:t>
      </w:r>
      <w:r w:rsidR="00A6788D">
        <w:rPr>
          <w:rFonts w:ascii="Times New Roman" w:hAnsi="Times New Roman" w:cs="Times New Roman"/>
          <w:sz w:val="24"/>
          <w:szCs w:val="24"/>
          <w:lang w:bidi="en-US"/>
        </w:rPr>
        <w:t>T</w:t>
      </w:r>
      <w:r w:rsidR="000D003D">
        <w:rPr>
          <w:rFonts w:ascii="Times New Roman" w:hAnsi="Times New Roman" w:cs="Times New Roman"/>
          <w:sz w:val="24"/>
          <w:szCs w:val="24"/>
          <w:lang w:bidi="en-US"/>
        </w:rPr>
        <w:t xml:space="preserve">he </w:t>
      </w:r>
      <w:r w:rsidR="00E205C2">
        <w:rPr>
          <w:rFonts w:ascii="Times New Roman" w:hAnsi="Times New Roman" w:cs="Times New Roman"/>
          <w:sz w:val="24"/>
          <w:szCs w:val="24"/>
          <w:lang w:bidi="en-US"/>
        </w:rPr>
        <w:t>CB</w:t>
      </w:r>
      <w:r w:rsidR="00AE7D4B">
        <w:rPr>
          <w:rFonts w:ascii="Times New Roman" w:hAnsi="Times New Roman" w:cs="Times New Roman"/>
          <w:sz w:val="24"/>
          <w:szCs w:val="24"/>
          <w:lang w:bidi="en-US"/>
        </w:rPr>
        <w:t>O</w:t>
      </w:r>
      <w:r w:rsidR="00E205C2">
        <w:rPr>
          <w:rFonts w:ascii="Times New Roman" w:hAnsi="Times New Roman" w:cs="Times New Roman"/>
          <w:sz w:val="24"/>
          <w:szCs w:val="24"/>
          <w:lang w:bidi="en-US"/>
        </w:rPr>
        <w:t xml:space="preserve">E </w:t>
      </w:r>
      <w:r w:rsidR="000D003D">
        <w:rPr>
          <w:rFonts w:ascii="Times New Roman" w:hAnsi="Times New Roman" w:cs="Times New Roman"/>
          <w:sz w:val="24"/>
          <w:szCs w:val="24"/>
          <w:lang w:bidi="en-US"/>
        </w:rPr>
        <w:t>oil price volatility index (OVX)</w:t>
      </w:r>
      <w:r w:rsidR="00F30603">
        <w:rPr>
          <w:rFonts w:ascii="Times New Roman" w:hAnsi="Times New Roman" w:cs="Times New Roman"/>
          <w:sz w:val="24"/>
          <w:szCs w:val="24"/>
          <w:lang w:bidi="en-US"/>
        </w:rPr>
        <w:t xml:space="preserve"> </w:t>
      </w:r>
      <w:r w:rsidR="00A6788D">
        <w:rPr>
          <w:rFonts w:ascii="Times New Roman" w:hAnsi="Times New Roman" w:cs="Times New Roman"/>
          <w:sz w:val="24"/>
          <w:szCs w:val="24"/>
          <w:lang w:bidi="en-US"/>
        </w:rPr>
        <w:t xml:space="preserve">is used to measure oil price volatility. </w:t>
      </w:r>
      <w:r w:rsidR="00743207">
        <w:rPr>
          <w:rFonts w:ascii="Times New Roman" w:hAnsi="Times New Roman" w:cs="Times New Roman"/>
          <w:sz w:val="24"/>
          <w:szCs w:val="24"/>
          <w:lang w:bidi="en-US"/>
        </w:rPr>
        <w:t>The OVX is constructed using o</w:t>
      </w:r>
      <w:r w:rsidR="000D003D">
        <w:rPr>
          <w:rFonts w:ascii="Times New Roman" w:hAnsi="Times New Roman" w:cs="Times New Roman"/>
          <w:sz w:val="24"/>
          <w:szCs w:val="24"/>
          <w:lang w:bidi="en-US"/>
        </w:rPr>
        <w:t>ptions prices on crude oil futures.</w:t>
      </w:r>
    </w:p>
    <w:p w14:paraId="5273B017" w14:textId="5F73BD8E" w:rsidR="003F0B47" w:rsidRPr="006E2AFE" w:rsidRDefault="00E975D7" w:rsidP="00E975D7">
      <w:pPr>
        <w:spacing w:before="240"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US e</w:t>
      </w:r>
      <w:r w:rsidR="003F0B47">
        <w:rPr>
          <w:rFonts w:ascii="Times New Roman" w:hAnsi="Times New Roman" w:cs="Times New Roman"/>
          <w:sz w:val="24"/>
          <w:szCs w:val="24"/>
          <w:lang w:bidi="en-US"/>
        </w:rPr>
        <w:t xml:space="preserve">quity market uncertainty </w:t>
      </w:r>
      <w:r w:rsidR="008527FB">
        <w:rPr>
          <w:rFonts w:ascii="Times New Roman" w:hAnsi="Times New Roman" w:cs="Times New Roman"/>
          <w:sz w:val="24"/>
          <w:szCs w:val="24"/>
          <w:lang w:bidi="en-US"/>
        </w:rPr>
        <w:t>(EMU</w:t>
      </w:r>
      <w:r>
        <w:rPr>
          <w:rFonts w:ascii="Times New Roman" w:hAnsi="Times New Roman" w:cs="Times New Roman"/>
          <w:sz w:val="24"/>
          <w:szCs w:val="24"/>
          <w:lang w:bidi="en-US"/>
        </w:rPr>
        <w:t>)</w:t>
      </w:r>
      <w:r w:rsidR="008527FB">
        <w:rPr>
          <w:rFonts w:ascii="Times New Roman" w:hAnsi="Times New Roman" w:cs="Times New Roman"/>
          <w:sz w:val="24"/>
          <w:szCs w:val="24"/>
          <w:lang w:bidi="en-US"/>
        </w:rPr>
        <w:t xml:space="preserve">, </w:t>
      </w:r>
      <w:r>
        <w:rPr>
          <w:rFonts w:ascii="Times New Roman" w:hAnsi="Times New Roman" w:cs="Times New Roman"/>
          <w:sz w:val="24"/>
          <w:szCs w:val="24"/>
          <w:lang w:bidi="en-US"/>
        </w:rPr>
        <w:t xml:space="preserve">US </w:t>
      </w:r>
      <w:r w:rsidR="008527FB">
        <w:rPr>
          <w:rFonts w:ascii="Times New Roman" w:hAnsi="Times New Roman" w:cs="Times New Roman"/>
          <w:sz w:val="24"/>
          <w:szCs w:val="24"/>
          <w:lang w:bidi="en-US"/>
        </w:rPr>
        <w:t xml:space="preserve">economic policy uncertainty (EPU) and the </w:t>
      </w:r>
      <w:r>
        <w:rPr>
          <w:rFonts w:ascii="Times New Roman" w:hAnsi="Times New Roman" w:cs="Times New Roman"/>
          <w:sz w:val="24"/>
          <w:szCs w:val="24"/>
          <w:lang w:bidi="en-US"/>
        </w:rPr>
        <w:t xml:space="preserve">infectious disease equity market volatility </w:t>
      </w:r>
      <w:r w:rsidR="00D43DA0">
        <w:rPr>
          <w:rFonts w:ascii="Times New Roman" w:hAnsi="Times New Roman" w:cs="Times New Roman"/>
          <w:sz w:val="24"/>
          <w:szCs w:val="24"/>
          <w:lang w:bidi="en-US"/>
        </w:rPr>
        <w:t xml:space="preserve">(EMV_IDT) </w:t>
      </w:r>
      <w:r>
        <w:rPr>
          <w:rFonts w:ascii="Times New Roman" w:hAnsi="Times New Roman" w:cs="Times New Roman"/>
          <w:sz w:val="24"/>
          <w:szCs w:val="24"/>
          <w:lang w:bidi="en-US"/>
        </w:rPr>
        <w:t>are</w:t>
      </w:r>
      <w:r w:rsidR="003F0B47">
        <w:rPr>
          <w:rFonts w:ascii="Times New Roman" w:hAnsi="Times New Roman" w:cs="Times New Roman"/>
          <w:sz w:val="24"/>
          <w:szCs w:val="24"/>
          <w:lang w:bidi="en-US"/>
        </w:rPr>
        <w:t xml:space="preserve"> </w:t>
      </w:r>
      <w:r>
        <w:rPr>
          <w:rFonts w:ascii="Times New Roman" w:hAnsi="Times New Roman" w:cs="Times New Roman"/>
          <w:sz w:val="24"/>
          <w:szCs w:val="24"/>
          <w:lang w:bidi="en-US"/>
        </w:rPr>
        <w:t>obtained from the economic policy uncertainty website (</w:t>
      </w:r>
      <w:hyperlink r:id="rId9" w:history="1">
        <w:r w:rsidRPr="00E568C0">
          <w:rPr>
            <w:rStyle w:val="Hyperlink"/>
            <w:rFonts w:ascii="Times New Roman" w:hAnsi="Times New Roman" w:cs="Times New Roman"/>
            <w:sz w:val="24"/>
            <w:szCs w:val="24"/>
            <w:lang w:bidi="en-US"/>
          </w:rPr>
          <w:t>https://www.policyuncertainty.com/</w:t>
        </w:r>
      </w:hyperlink>
      <w:r>
        <w:rPr>
          <w:rFonts w:ascii="Times New Roman" w:hAnsi="Times New Roman" w:cs="Times New Roman"/>
          <w:sz w:val="24"/>
          <w:szCs w:val="24"/>
          <w:lang w:bidi="en-US"/>
        </w:rPr>
        <w:t xml:space="preserve">) </w:t>
      </w:r>
      <w:r>
        <w:rPr>
          <w:rFonts w:ascii="Times New Roman" w:hAnsi="Times New Roman" w:cs="Times New Roman"/>
          <w:sz w:val="24"/>
          <w:szCs w:val="24"/>
          <w:lang w:bidi="en-US"/>
        </w:rPr>
        <w:fldChar w:fldCharType="begin"/>
      </w:r>
      <w:r w:rsidR="002A666A">
        <w:rPr>
          <w:rFonts w:ascii="Times New Roman" w:hAnsi="Times New Roman" w:cs="Times New Roman"/>
          <w:sz w:val="24"/>
          <w:szCs w:val="24"/>
          <w:lang w:bidi="en-US"/>
        </w:rPr>
        <w:instrText xml:space="preserve"> ADDIN ZOTERO_ITEM CSL_CITATION {"citationID":"Y5megyhh","properties":{"formattedCitation":"(Baker et al., 2016)","plainCitation":"(Baker et al., 2016)","noteIndex":0},"citationItems":[{"id":232,"uris":["http://zotero.org/users/5823779/items/YEF2P5YZ"],"itemData":{"id":232,"type":"article-journal","abstract":"Abstract.  We develop a new index of economic policy uncertainty (EPU) based on newspaper\n                    coverage frequency. Several types of evidence—incl","container-title":"The Quarterly Journal of Economics","DOI":"10.1093/qje/qjw024","ISSN":"0033-5533","issue":"4","journalAbbreviation":"Q J Econ","language":"en","page":"1593-1636","source":"academic.oup.com","title":"Measuring Economic Policy Uncertainty","volume":"131","author":[{"family":"Baker","given":"Scott R."},{"family":"Bloom","given":"Nicholas"},{"family":"Davis","given":"Steven J."}],"issued":{"date-parts":[["2016",11,1]]}}}],"schema":"https://github.com/citation-style-language/schema/raw/master/csl-citation.json"} </w:instrText>
      </w:r>
      <w:r>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(Baker et al., 2016)</w:t>
      </w:r>
      <w:r>
        <w:rPr>
          <w:rFonts w:ascii="Times New Roman" w:hAnsi="Times New Roman" w:cs="Times New Roman"/>
          <w:sz w:val="24"/>
          <w:szCs w:val="24"/>
          <w:lang w:bidi="en-US"/>
        </w:rPr>
        <w:fldChar w:fldCharType="end"/>
      </w:r>
      <w:r w:rsidR="00D43DA0">
        <w:rPr>
          <w:rFonts w:ascii="Times New Roman" w:hAnsi="Times New Roman" w:cs="Times New Roman"/>
          <w:sz w:val="24"/>
          <w:szCs w:val="24"/>
          <w:lang w:bidi="en-US"/>
        </w:rPr>
        <w:t>. These indices are based on key word searches in newspapers and media.</w:t>
      </w:r>
    </w:p>
    <w:p w14:paraId="2A567B46" w14:textId="607E39F9" w:rsidR="006E2AFE" w:rsidRDefault="006E2AFE" w:rsidP="006E2AFE">
      <w:pPr>
        <w:spacing w:after="0" w:line="480" w:lineRule="auto"/>
        <w:ind w:firstLine="720"/>
        <w:rPr>
          <w:rFonts w:ascii="Times New Roman" w:hAnsi="Times New Roman" w:cs="Times New Roman"/>
          <w:sz w:val="24"/>
          <w:szCs w:val="24"/>
          <w:lang w:bidi="en-US"/>
        </w:rPr>
      </w:pPr>
      <w:r w:rsidRPr="006E2AFE">
        <w:rPr>
          <w:rFonts w:ascii="Times New Roman" w:hAnsi="Times New Roman" w:cs="Times New Roman"/>
          <w:sz w:val="24"/>
          <w:szCs w:val="24"/>
          <w:lang w:bidi="en-US"/>
        </w:rPr>
        <w:t xml:space="preserve">The data for this study </w:t>
      </w:r>
      <w:r w:rsidR="00A52B23">
        <w:rPr>
          <w:rFonts w:ascii="Times New Roman" w:hAnsi="Times New Roman" w:cs="Times New Roman"/>
          <w:sz w:val="24"/>
          <w:szCs w:val="24"/>
          <w:lang w:bidi="en-US"/>
        </w:rPr>
        <w:t xml:space="preserve">is daily and </w:t>
      </w:r>
      <w:r w:rsidRPr="006E2AFE">
        <w:rPr>
          <w:rFonts w:ascii="Times New Roman" w:hAnsi="Times New Roman" w:cs="Times New Roman"/>
          <w:sz w:val="24"/>
          <w:szCs w:val="24"/>
          <w:lang w:bidi="en-US"/>
        </w:rPr>
        <w:t xml:space="preserve">starts on </w:t>
      </w:r>
      <w:r w:rsidR="00B62D15">
        <w:rPr>
          <w:rFonts w:ascii="Times New Roman" w:hAnsi="Times New Roman" w:cs="Times New Roman"/>
          <w:sz w:val="24"/>
          <w:szCs w:val="24"/>
          <w:lang w:bidi="en-US"/>
        </w:rPr>
        <w:t>July</w:t>
      </w:r>
      <w:r w:rsidRPr="006E2AFE">
        <w:rPr>
          <w:rFonts w:ascii="Times New Roman" w:hAnsi="Times New Roman" w:cs="Times New Roman"/>
          <w:sz w:val="24"/>
          <w:szCs w:val="24"/>
          <w:lang w:bidi="en-US"/>
        </w:rPr>
        <w:t xml:space="preserve"> </w:t>
      </w:r>
      <w:r w:rsidR="00B62D15">
        <w:rPr>
          <w:rFonts w:ascii="Times New Roman" w:hAnsi="Times New Roman" w:cs="Times New Roman"/>
          <w:sz w:val="24"/>
          <w:szCs w:val="24"/>
          <w:lang w:bidi="en-US"/>
        </w:rPr>
        <w:t>1</w:t>
      </w:r>
      <w:r w:rsidRPr="006E2AFE">
        <w:rPr>
          <w:rFonts w:ascii="Times New Roman" w:hAnsi="Times New Roman" w:cs="Times New Roman"/>
          <w:sz w:val="24"/>
          <w:szCs w:val="24"/>
          <w:lang w:bidi="en-US"/>
        </w:rPr>
        <w:t>, 20</w:t>
      </w:r>
      <w:r w:rsidR="00B62D15">
        <w:rPr>
          <w:rFonts w:ascii="Times New Roman" w:hAnsi="Times New Roman" w:cs="Times New Roman"/>
          <w:sz w:val="24"/>
          <w:szCs w:val="24"/>
          <w:lang w:bidi="en-US"/>
        </w:rPr>
        <w:t>08</w:t>
      </w:r>
      <w:r w:rsidRPr="006E2AFE">
        <w:rPr>
          <w:rFonts w:ascii="Times New Roman" w:hAnsi="Times New Roman" w:cs="Times New Roman"/>
          <w:sz w:val="24"/>
          <w:szCs w:val="24"/>
          <w:lang w:bidi="en-US"/>
        </w:rPr>
        <w:t xml:space="preserve"> </w:t>
      </w:r>
      <w:r w:rsidR="00305126">
        <w:rPr>
          <w:rFonts w:ascii="Times New Roman" w:hAnsi="Times New Roman" w:cs="Times New Roman"/>
          <w:sz w:val="24"/>
          <w:szCs w:val="24"/>
          <w:lang w:bidi="en-US"/>
        </w:rPr>
        <w:t>(</w:t>
      </w:r>
      <w:r w:rsidR="00AF2C85">
        <w:rPr>
          <w:rFonts w:ascii="Times New Roman" w:hAnsi="Times New Roman" w:cs="Times New Roman"/>
          <w:sz w:val="24"/>
          <w:szCs w:val="24"/>
          <w:lang w:bidi="en-US"/>
        </w:rPr>
        <w:t>ICLN began trading on June 24, 2008)</w:t>
      </w:r>
      <w:r w:rsidR="00F82568">
        <w:rPr>
          <w:rFonts w:ascii="Times New Roman" w:hAnsi="Times New Roman" w:cs="Times New Roman"/>
          <w:sz w:val="24"/>
          <w:szCs w:val="24"/>
          <w:lang w:bidi="en-US"/>
        </w:rPr>
        <w:t xml:space="preserve"> and ends on June 30, 2022</w:t>
      </w:r>
      <w:r w:rsidRPr="00B62D15">
        <w:rPr>
          <w:rFonts w:ascii="Times New Roman" w:hAnsi="Times New Roman" w:cs="Times New Roman"/>
          <w:sz w:val="24"/>
          <w:szCs w:val="24"/>
          <w:lang w:bidi="en-US"/>
        </w:rPr>
        <w:t xml:space="preserve">. </w:t>
      </w:r>
      <w:r w:rsidR="00B62D15">
        <w:rPr>
          <w:rFonts w:ascii="Times New Roman" w:hAnsi="Times New Roman" w:cs="Times New Roman"/>
          <w:sz w:val="24"/>
          <w:szCs w:val="24"/>
          <w:lang w:bidi="en-US"/>
        </w:rPr>
        <w:t>Stock price and market volatility data were</w:t>
      </w:r>
      <w:r w:rsidRPr="006E2AFE">
        <w:rPr>
          <w:rFonts w:ascii="Times New Roman" w:hAnsi="Times New Roman" w:cs="Times New Roman"/>
          <w:sz w:val="24"/>
          <w:szCs w:val="24"/>
          <w:lang w:bidi="en-US"/>
        </w:rPr>
        <w:t xml:space="preserve"> collected from Yahoo Finance. </w:t>
      </w:r>
      <w:r w:rsidR="003F0B47">
        <w:rPr>
          <w:rFonts w:ascii="Times New Roman" w:hAnsi="Times New Roman" w:cs="Times New Roman"/>
          <w:sz w:val="24"/>
          <w:szCs w:val="24"/>
          <w:lang w:bidi="en-US"/>
        </w:rPr>
        <w:t>Data on t</w:t>
      </w:r>
      <w:r w:rsidR="00B62D15">
        <w:rPr>
          <w:rFonts w:ascii="Times New Roman" w:hAnsi="Times New Roman" w:cs="Times New Roman"/>
          <w:sz w:val="24"/>
          <w:szCs w:val="24"/>
          <w:lang w:bidi="en-US"/>
        </w:rPr>
        <w:t xml:space="preserve">he </w:t>
      </w:r>
      <w:r w:rsidR="003F0B47">
        <w:rPr>
          <w:rFonts w:ascii="Times New Roman" w:hAnsi="Times New Roman" w:cs="Times New Roman"/>
          <w:sz w:val="24"/>
          <w:szCs w:val="24"/>
          <w:lang w:bidi="en-US"/>
        </w:rPr>
        <w:t>uncertainty variables was obtained from FRED.</w:t>
      </w:r>
      <w:r w:rsidR="00AF2C85">
        <w:rPr>
          <w:rFonts w:ascii="Times New Roman" w:hAnsi="Times New Roman" w:cs="Times New Roman"/>
          <w:sz w:val="24"/>
          <w:szCs w:val="24"/>
          <w:lang w:bidi="en-US"/>
        </w:rPr>
        <w:t xml:space="preserve"> </w:t>
      </w:r>
      <w:r w:rsidR="00A52B23">
        <w:rPr>
          <w:rFonts w:ascii="Times New Roman" w:hAnsi="Times New Roman" w:cs="Times New Roman"/>
          <w:sz w:val="24"/>
          <w:szCs w:val="24"/>
          <w:lang w:bidi="en-US"/>
        </w:rPr>
        <w:t>The</w:t>
      </w:r>
      <w:r w:rsidRPr="006E2AFE">
        <w:rPr>
          <w:rFonts w:ascii="Times New Roman" w:hAnsi="Times New Roman" w:cs="Times New Roman"/>
          <w:sz w:val="24"/>
          <w:szCs w:val="24"/>
          <w:lang w:bidi="en-US"/>
        </w:rPr>
        <w:t xml:space="preserve"> technical indicators </w:t>
      </w:r>
      <w:r w:rsidR="00A52B23">
        <w:rPr>
          <w:rFonts w:ascii="Times New Roman" w:hAnsi="Times New Roman" w:cs="Times New Roman"/>
          <w:sz w:val="24"/>
          <w:szCs w:val="24"/>
          <w:lang w:bidi="en-US"/>
        </w:rPr>
        <w:t xml:space="preserve">used in this study include </w:t>
      </w:r>
      <w:r w:rsidR="00A52B23" w:rsidRPr="006E2AFE">
        <w:rPr>
          <w:rFonts w:ascii="Times New Roman" w:hAnsi="Times New Roman" w:cs="Times New Roman"/>
          <w:sz w:val="24"/>
          <w:szCs w:val="24"/>
          <w:lang w:bidi="en-US"/>
        </w:rPr>
        <w:t>the 50-day and 200-day moving averages,</w:t>
      </w:r>
      <w:r w:rsidR="00A52B23">
        <w:rPr>
          <w:rFonts w:ascii="Times New Roman" w:hAnsi="Times New Roman" w:cs="Times New Roman"/>
          <w:sz w:val="24"/>
          <w:szCs w:val="24"/>
          <w:lang w:bidi="en-US"/>
        </w:rPr>
        <w:t xml:space="preserve"> </w:t>
      </w:r>
      <w:r w:rsidRPr="006E2AFE">
        <w:rPr>
          <w:rFonts w:ascii="Times New Roman" w:hAnsi="Times New Roman" w:cs="Times New Roman"/>
          <w:sz w:val="24"/>
          <w:szCs w:val="24"/>
          <w:lang w:bidi="en-US"/>
        </w:rPr>
        <w:t xml:space="preserve">the relative strength indicator (RSI), </w:t>
      </w:r>
      <w:r w:rsidR="00A52B23" w:rsidRPr="006E2AFE">
        <w:rPr>
          <w:rFonts w:ascii="Times New Roman" w:hAnsi="Times New Roman" w:cs="Times New Roman"/>
          <w:sz w:val="24"/>
          <w:szCs w:val="24"/>
          <w:lang w:bidi="en-US"/>
        </w:rPr>
        <w:t>Williams accumulation and distribution (WAD)</w:t>
      </w:r>
      <w:r w:rsidR="00A52B23">
        <w:rPr>
          <w:rFonts w:ascii="Times New Roman" w:hAnsi="Times New Roman" w:cs="Times New Roman"/>
          <w:sz w:val="24"/>
          <w:szCs w:val="24"/>
          <w:lang w:bidi="en-US"/>
        </w:rPr>
        <w:t xml:space="preserve">, </w:t>
      </w:r>
      <w:r w:rsidRPr="006E2AFE">
        <w:rPr>
          <w:rFonts w:ascii="Times New Roman" w:hAnsi="Times New Roman" w:cs="Times New Roman"/>
          <w:sz w:val="24"/>
          <w:szCs w:val="24"/>
          <w:lang w:bidi="en-US"/>
        </w:rPr>
        <w:t xml:space="preserve">stochastic oscillator (slow, fast), advance – decline line (ADX), moving average cross-over divergence (MACD), price rate of change (ROC), on balance volume, </w:t>
      </w:r>
      <w:r w:rsidR="00A52B23">
        <w:rPr>
          <w:rFonts w:ascii="Times New Roman" w:hAnsi="Times New Roman" w:cs="Times New Roman"/>
          <w:sz w:val="24"/>
          <w:szCs w:val="24"/>
          <w:lang w:bidi="en-US"/>
        </w:rPr>
        <w:t xml:space="preserve">and the </w:t>
      </w:r>
      <w:r w:rsidRPr="006E2AFE">
        <w:rPr>
          <w:rFonts w:ascii="Times New Roman" w:hAnsi="Times New Roman" w:cs="Times New Roman"/>
          <w:sz w:val="24"/>
          <w:szCs w:val="24"/>
          <w:lang w:bidi="en-US"/>
        </w:rPr>
        <w:t>money flow index (MFI)</w:t>
      </w:r>
      <w:r w:rsidR="00A52B23">
        <w:rPr>
          <w:rFonts w:ascii="Times New Roman" w:hAnsi="Times New Roman" w:cs="Times New Roman"/>
          <w:sz w:val="24"/>
          <w:szCs w:val="24"/>
          <w:lang w:bidi="en-US"/>
        </w:rPr>
        <w:t>.</w:t>
      </w:r>
      <w:r w:rsidRPr="006E2AFE">
        <w:rPr>
          <w:rFonts w:ascii="Times New Roman" w:hAnsi="Times New Roman" w:cs="Times New Roman"/>
          <w:sz w:val="24"/>
          <w:szCs w:val="24"/>
          <w:lang w:bidi="en-US"/>
        </w:rPr>
        <w:t xml:space="preserve">. </w:t>
      </w:r>
      <w:r w:rsidR="00D950BC" w:rsidRPr="006E2AFE">
        <w:rPr>
          <w:rFonts w:ascii="Times New Roman" w:hAnsi="Times New Roman" w:cs="Times New Roman"/>
          <w:sz w:val="24"/>
          <w:szCs w:val="24"/>
          <w:lang w:bidi="en-US"/>
        </w:rPr>
        <w:t>The</w:t>
      </w:r>
      <w:r w:rsidR="00D950BC">
        <w:rPr>
          <w:rFonts w:ascii="Times New Roman" w:hAnsi="Times New Roman" w:cs="Times New Roman"/>
          <w:sz w:val="24"/>
          <w:szCs w:val="24"/>
          <w:lang w:bidi="en-US"/>
        </w:rPr>
        <w:t>se</w:t>
      </w:r>
      <w:r w:rsidR="00D950BC" w:rsidRPr="006E2AFE">
        <w:rPr>
          <w:rFonts w:ascii="Times New Roman" w:hAnsi="Times New Roman" w:cs="Times New Roman"/>
          <w:sz w:val="24"/>
          <w:szCs w:val="24"/>
          <w:lang w:bidi="en-US"/>
        </w:rPr>
        <w:t xml:space="preserve"> technical indicators </w:t>
      </w:r>
      <w:r w:rsidR="00D950BC">
        <w:rPr>
          <w:rFonts w:ascii="Times New Roman" w:hAnsi="Times New Roman" w:cs="Times New Roman"/>
          <w:sz w:val="24"/>
          <w:szCs w:val="24"/>
          <w:lang w:bidi="en-US"/>
        </w:rPr>
        <w:t xml:space="preserve">have </w:t>
      </w:r>
      <w:r w:rsidR="00A52B23">
        <w:rPr>
          <w:rFonts w:ascii="Times New Roman" w:hAnsi="Times New Roman" w:cs="Times New Roman"/>
          <w:sz w:val="24"/>
          <w:szCs w:val="24"/>
          <w:lang w:bidi="en-US"/>
        </w:rPr>
        <w:t xml:space="preserve">shown </w:t>
      </w:r>
      <w:r w:rsidR="00D950BC">
        <w:rPr>
          <w:rFonts w:ascii="Times New Roman" w:hAnsi="Times New Roman" w:cs="Times New Roman"/>
          <w:sz w:val="24"/>
          <w:szCs w:val="24"/>
          <w:lang w:bidi="en-US"/>
        </w:rPr>
        <w:t xml:space="preserve">predictive power for predicting stock prices </w:t>
      </w:r>
      <w:r w:rsidR="00D950BC" w:rsidRPr="006E2AFE">
        <w:rPr>
          <w:rFonts w:ascii="Times New Roman" w:hAnsi="Times New Roman" w:cs="Times New Roman"/>
          <w:sz w:val="24"/>
          <w:szCs w:val="24"/>
          <w:lang w:bidi="en-US"/>
        </w:rPr>
        <w:fldChar w:fldCharType="begin"/>
      </w:r>
      <w:r w:rsidR="002A666A">
        <w:rPr>
          <w:rFonts w:ascii="Times New Roman" w:hAnsi="Times New Roman" w:cs="Times New Roman"/>
          <w:sz w:val="24"/>
          <w:szCs w:val="24"/>
          <w:lang w:bidi="en-US"/>
        </w:rPr>
        <w:instrText xml:space="preserve"> ADDIN ZOTERO_ITEM CSL_CITATION {"citationID":"Bb8Fji0u","properties":{"formattedCitation":"(Bustos and Pomares-Quimbaya, 2020; Neely et al., 2014; Wang et al., 2020; Yin et al., 2017; Yin and Yang, 2016)","plainCitation":"(Bustos and Pomares-Quimbaya, 2020; Neely et al., 2014; Wang et al., 2020; Yin et al., 2017; Yin and Yang, 2016)","noteIndex":0},"citationItems":[{"id":1707,"uris":["http://zotero.org/users/5823779/items/KG6V6JNY"],"itemData":{"id":1707,"type":"article-journal","abstract":"This paper aims to investigate the predictability of technical indicators to directly forecast oil prices and compare their performances with macroeconomic variables. We find that technical indicators do exhibit statistically and economically significant in-sample and out-of-sample forecasting power under OLS regressions and forecast combinations, clearly exceeding that of well-known macroeconomic variables and state-of-the-art oil-macro forecasting variables. Moreover, the strength of the predictive evidence is substantial during recessions and expansions and can detect the typical decline in the oil returns near business-cycle peaks effectively. Furthermore, technical indicators reveal substantial economic value for investors, in terms of superior oil risk premium forecasts and sizable utility gains. The technical indicators' ability to predict the oil price stems in part from its ability to predict changes in sentiment, suggesting the financialization of oil markets.","container-title":"Energy Economics","DOI":"10.1016/j.eneco.2016.03.017","ISSN":"0140-9883","journalAbbreviation":"Energy Economics","language":"en","page":"338-350","source":"ScienceDirect","title":"Predicting the oil prices: Do technical indicators help?","title-short":"Predicting the oil prices","volume":"56","author":[{"family":"Yin","given":"Libo"},{"family":"Yang","given":"Qingyuan"}],"issued":{"date-parts":[["2016",5,1]]}}},{"id":2162,"uris":["http://zotero.org/users/5823779/items/VQXLC43B"],"itemData":{"id":2162,"type":"article-journal","abstract":"This paper investigates the financialization and structural co-movement of several commodity futures using factor variance decomposition and predictability of technical indicators and macro variables. We find that financialization is still a dominant player in the commodity market and that recent commodity price fluctuations can be significantly and robustly forecasted by technical analyses of commodity index investments. Moreover, the co-movement of commodities is demonstrated by variance decomposition and explained as commodity index investment, which provides evidence of financialization. The overall empirical analysis reveals that technical indicators and macro variables can statistically and economically forecast the indexed investment and off-index trading, respectively, which indicates that they are suitable predictors of the commodity markets.","container-title":"Quantitative Finance","DOI":"10.1080/14697688.2016.1225977","ISSN":"1469-7688","issue":"5","page":"795-812","source":"Taylor and Francis+NEJM","title":"Predictability of structural co-movement in commodity prices: the role of technical indicators","title-short":"Predictability of structural co-movement in commodity prices","volume":"17","author":[{"family":"Yin","given":"Libo"},{"family":"Yang","given":"Qingyuan"},{"family":"Su","given":"Zhi"}],"issued":{"date-parts":[["2017",5,4]]}}},{"id":3456,"uris":["http://zotero.org/users/5823779/items/29QZIU5V"],"itemData":{"id":3456,"type":"article-journal","container-title":"Management Science","DOI":"10.1287/mnsc.2013.1838","ISSN":"0025-1909, 1526-5501","issue":"7","journalAbbreviation":"Management Science","language":"en","page":"1772-1791","source":"DOI.org (Crossref)","title":"Forecasting the Equity Risk Premium: The Role of Technical Indicators","title-short":"Forecasting the Equity Risk Premium","volume":"60","author":[{"family":"Neely","given":"Christopher J."},{"family":"Rapach","given":"David E."},{"family":"Tu","given":"Jun"},{"family":"Zhou","given":"Guofu"}],"issued":{"date-parts":[["2014",7]]}}},{"id":1710,"uris":["http://zotero.org/users/5823779/items/I9C3579Y"],"itemData":{"id":1710,"type":"article-journal","abstract":"Economic variables are often used for forecasting commodity prices, but technical indicators have received much less attention in the literature. This paper demonstrates the predictability of commodity price changes using many technical indicators. Technical indicators are stronger predictors than economic indicators, and their forecasting performances are not affected by the problems of data mining or time changes. An investor with mean–variance preference receives utility gains of between 104.4 and 185.5 basis points from using technical indicators. Further analysis shows that technical indicators also perform better than economic variables for forecasting the density of commodity price changes.","container-title":"International Journal of Forecasting","DOI":"10.1016/j.ijforecast.2019.08.004","ISSN":"0169-2070","issue":"2","journalAbbreviation":"International Journal of Forecasting","language":"en","page":"666-683","source":"ScienceDirect","title":"Forecasting commodity prices out-of-sample: Can technical indicators help?","title-short":"Forecasting commodity prices out-of-sample","volume":"36","author":[{"family":"Wang","given":"Yudong"},{"family":"Liu","given":"Li"},{"family":"Wu","given":"Chongfeng"}],"issued":{"date-parts":[["2020",4,1]]}}},{"id":2216,"uris":["http://zotero.org/users/5823779/items/BRXJ8JNT"],"itemData":{"id":2216,"type":"article-journal","abstract":"Achieving accurate stock market models can provide investors with tools for making better data-based decisions. These models can help traders to reduce investment risk and select the most profitable stocks. Furthermore, creating advanced models enable the usage of non-traditional data like historical stock prices and news. There are several review articles about financial problems, including stock market analysis and forecast, currency exchange forecast, optimal portfolio selection, among others. However, the recent advances in machine learning techniques, like Deep Learning, Text Mining Techniques, and Ensemble Techniques, raises the need to perform an updated review. This study aims to fill this gap by providing an updated systematic review of the forecasting techniques used in the stock market, including their classification, characterization and comparison. The review is focused on studies on stock market movement prediction from 2014 to 2018, obtained from the scientific databases Scopus and Web of Science. Besides, it analyzes surveys and other reviews of recent studies published in the same time frame and the same databases.","container-title":"Expert Systems with Applications","DOI":"10.1016/j.eswa.2020.113464","ISSN":"0957-4174","journalAbbreviation":"Expert Systems with Applications","language":"en","page":"113464","source":"ScienceDirect","title":"Stock market movement forecast: A Systematic review","title-short":"Stock market movement forecast","volume":"156","author":[{"family":"Bustos","given":"O"},{"family":"Pomares-Quimbaya","given":"A."}],"issued":{"date-parts":[["2020",10,15]]}}}],"schema":"https://github.com/citation-style-language/schema/raw/master/csl-citation.json"} </w:instrText>
      </w:r>
      <w:r w:rsidR="00D950BC" w:rsidRPr="006E2AFE">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(Bustos and Pomares-Quimbaya, 2020; Neely et al., 2014; Wang et al., 2020; Yin et al., 2017; Yin and Yang, 2016)</w:t>
      </w:r>
      <w:r w:rsidR="00D950BC" w:rsidRPr="006E2AFE">
        <w:rPr>
          <w:rFonts w:ascii="Times New Roman" w:hAnsi="Times New Roman" w:cs="Times New Roman"/>
          <w:sz w:val="24"/>
          <w:szCs w:val="24"/>
        </w:rPr>
        <w:fldChar w:fldCharType="end"/>
      </w:r>
      <w:r w:rsidR="00D950BC" w:rsidRPr="006E2AFE">
        <w:rPr>
          <w:rFonts w:ascii="Times New Roman" w:hAnsi="Times New Roman" w:cs="Times New Roman"/>
          <w:sz w:val="24"/>
          <w:szCs w:val="24"/>
          <w:lang w:bidi="en-US"/>
        </w:rPr>
        <w:t>.</w:t>
      </w:r>
      <w:r w:rsidR="00D950BC">
        <w:rPr>
          <w:rFonts w:ascii="Times New Roman" w:hAnsi="Times New Roman" w:cs="Times New Roman"/>
          <w:sz w:val="24"/>
          <w:szCs w:val="24"/>
          <w:lang w:bidi="en-US"/>
        </w:rPr>
        <w:t xml:space="preserve"> </w:t>
      </w:r>
      <w:r w:rsidR="00D37E7A">
        <w:rPr>
          <w:rFonts w:ascii="Times New Roman" w:hAnsi="Times New Roman" w:cs="Times New Roman"/>
          <w:sz w:val="24"/>
          <w:szCs w:val="24"/>
          <w:lang w:bidi="en-US"/>
        </w:rPr>
        <w:t xml:space="preserve">Technical indicators were calculated using the default settings in the R package TTR </w:t>
      </w:r>
      <w:r w:rsidR="00D37E7A">
        <w:rPr>
          <w:rFonts w:ascii="Times New Roman" w:hAnsi="Times New Roman" w:cs="Times New Roman"/>
          <w:sz w:val="24"/>
          <w:szCs w:val="24"/>
          <w:lang w:bidi="en-US"/>
        </w:rPr>
        <w:fldChar w:fldCharType="begin"/>
      </w:r>
      <w:r w:rsidR="002A666A">
        <w:rPr>
          <w:rFonts w:ascii="Times New Roman" w:hAnsi="Times New Roman" w:cs="Times New Roman"/>
          <w:sz w:val="24"/>
          <w:szCs w:val="24"/>
          <w:lang w:bidi="en-US"/>
        </w:rPr>
        <w:instrText xml:space="preserve"> ADDIN ZOTERO_ITEM CSL_CITATION {"citationID":"GA4PWswR","properties":{"formattedCitation":"(Ulrich, 2020)","plainCitation":"(Ulrich, 2020)","noteIndex":0},"citationItems":[{"id":3140,"uris":["http://zotero.org/users/5823779/items/QD9BFLXU"],"itemData":{"id":3140,"type":"book","abstract":"A collection of over 50 technical indicators for creating technical trading rules. The package also provides fast implementations of common rolling-window functions, and several volatility calculations.","source":"R-Packages","title":"TTR: Technical Trading Rules","title-short":"TTR","URL":"https://CRAN.R-project.org/package=TTR","version":"0.24.2","author":[{"family":"Ulrich","given":"Joshua"}],"accessed":{"date-parts":[["2021",7,21]]},"issued":{"date-parts":[["2020",9,1]]}}}],"schema":"https://github.com/citation-style-language/schema/raw/master/csl-citation.json"} </w:instrText>
      </w:r>
      <w:r w:rsidR="00D37E7A">
        <w:rPr>
          <w:rFonts w:ascii="Times New Roman" w:hAnsi="Times New Roman" w:cs="Times New Roman"/>
          <w:sz w:val="24"/>
          <w:szCs w:val="24"/>
          <w:lang w:bidi="en-US"/>
        </w:rPr>
        <w:fldChar w:fldCharType="separate"/>
      </w:r>
      <w:r w:rsidR="00F31A70" w:rsidRPr="00F31A70">
        <w:rPr>
          <w:rFonts w:ascii="Times New Roman" w:hAnsi="Times New Roman" w:cs="Times New Roman"/>
          <w:sz w:val="24"/>
        </w:rPr>
        <w:t>(Ulrich, 2020)</w:t>
      </w:r>
      <w:r w:rsidR="00D37E7A">
        <w:rPr>
          <w:rFonts w:ascii="Times New Roman" w:hAnsi="Times New Roman" w:cs="Times New Roman"/>
          <w:sz w:val="24"/>
          <w:szCs w:val="24"/>
          <w:lang w:bidi="en-US"/>
        </w:rPr>
        <w:fldChar w:fldCharType="end"/>
      </w:r>
      <w:r w:rsidR="00D37E7A">
        <w:rPr>
          <w:rFonts w:ascii="Times New Roman" w:hAnsi="Times New Roman" w:cs="Times New Roman"/>
          <w:sz w:val="24"/>
          <w:szCs w:val="24"/>
          <w:lang w:bidi="en-US"/>
        </w:rPr>
        <w:t>.</w:t>
      </w:r>
      <w:r w:rsidR="003F0B47">
        <w:rPr>
          <w:rFonts w:ascii="Times New Roman" w:hAnsi="Times New Roman" w:cs="Times New Roman"/>
          <w:sz w:val="24"/>
          <w:szCs w:val="24"/>
          <w:lang w:bidi="en-US"/>
        </w:rPr>
        <w:t xml:space="preserve"> </w:t>
      </w:r>
    </w:p>
    <w:p w14:paraId="0DB7BC1E" w14:textId="6D9F0C9D" w:rsidR="00412FB9" w:rsidRDefault="00412FB9" w:rsidP="006E2AFE">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lastRenderedPageBreak/>
        <w:t xml:space="preserve">Time series patterns of the clean energy ETFs are shown in Figure 1a. </w:t>
      </w:r>
      <w:r w:rsidR="00F82568">
        <w:rPr>
          <w:rFonts w:ascii="Times New Roman" w:hAnsi="Times New Roman" w:cs="Times New Roman"/>
          <w:sz w:val="24"/>
          <w:szCs w:val="24"/>
          <w:lang w:bidi="en-US"/>
        </w:rPr>
        <w:t>Clean energy stock</w:t>
      </w:r>
      <w:r w:rsidR="008534C7">
        <w:rPr>
          <w:rFonts w:ascii="Times New Roman" w:hAnsi="Times New Roman" w:cs="Times New Roman"/>
          <w:sz w:val="24"/>
          <w:szCs w:val="24"/>
          <w:lang w:bidi="en-US"/>
        </w:rPr>
        <w:t>s</w:t>
      </w:r>
      <w:r w:rsidR="00F82568">
        <w:rPr>
          <w:rFonts w:ascii="Times New Roman" w:hAnsi="Times New Roman" w:cs="Times New Roman"/>
          <w:sz w:val="24"/>
          <w:szCs w:val="24"/>
          <w:lang w:bidi="en-US"/>
        </w:rPr>
        <w:t>, like most stocks, dropped considerably during the 2008-2009 global financial crisis. Except for 2014, c</w:t>
      </w:r>
      <w:r w:rsidR="0078475B">
        <w:rPr>
          <w:rFonts w:ascii="Times New Roman" w:hAnsi="Times New Roman" w:cs="Times New Roman"/>
          <w:sz w:val="24"/>
          <w:szCs w:val="24"/>
          <w:lang w:bidi="en-US"/>
        </w:rPr>
        <w:t>le</w:t>
      </w:r>
      <w:r w:rsidR="00F82568">
        <w:rPr>
          <w:rFonts w:ascii="Times New Roman" w:hAnsi="Times New Roman" w:cs="Times New Roman"/>
          <w:sz w:val="24"/>
          <w:szCs w:val="24"/>
          <w:lang w:bidi="en-US"/>
        </w:rPr>
        <w:t>a</w:t>
      </w:r>
      <w:r w:rsidR="0078475B">
        <w:rPr>
          <w:rFonts w:ascii="Times New Roman" w:hAnsi="Times New Roman" w:cs="Times New Roman"/>
          <w:sz w:val="24"/>
          <w:szCs w:val="24"/>
          <w:lang w:bidi="en-US"/>
        </w:rPr>
        <w:t>n energy s</w:t>
      </w:r>
      <w:r>
        <w:rPr>
          <w:rFonts w:ascii="Times New Roman" w:hAnsi="Times New Roman" w:cs="Times New Roman"/>
          <w:sz w:val="24"/>
          <w:szCs w:val="24"/>
          <w:lang w:bidi="en-US"/>
        </w:rPr>
        <w:t xml:space="preserve">tock prices did not fluctuate very much between January 2, 2013 and January 2, 2019. </w:t>
      </w:r>
      <w:r w:rsidR="00F82568">
        <w:rPr>
          <w:rFonts w:ascii="Times New Roman" w:hAnsi="Times New Roman" w:cs="Times New Roman"/>
          <w:sz w:val="24"/>
          <w:szCs w:val="24"/>
          <w:lang w:bidi="en-US"/>
        </w:rPr>
        <w:t xml:space="preserve">The year 2014 </w:t>
      </w:r>
      <w:r w:rsidR="008534C7">
        <w:rPr>
          <w:rFonts w:ascii="Times New Roman" w:hAnsi="Times New Roman" w:cs="Times New Roman"/>
          <w:sz w:val="24"/>
          <w:szCs w:val="24"/>
          <w:lang w:bidi="en-US"/>
        </w:rPr>
        <w:t>was important because global investment in clean energy increased 16% that year mostly due to increased solar power in the US and China. Wind power investment in Europe was also strong</w:t>
      </w:r>
      <w:r w:rsidR="008534C7" w:rsidRPr="00D568C1">
        <w:rPr>
          <w:rStyle w:val="FootnoteReference"/>
        </w:rPr>
        <w:footnoteReference w:id="1"/>
      </w:r>
      <w:r w:rsidR="008534C7">
        <w:rPr>
          <w:rFonts w:ascii="Times New Roman" w:hAnsi="Times New Roman" w:cs="Times New Roman"/>
          <w:sz w:val="24"/>
          <w:szCs w:val="24"/>
          <w:lang w:bidi="en-US"/>
        </w:rPr>
        <w:t xml:space="preserve">. </w:t>
      </w:r>
      <w:r>
        <w:rPr>
          <w:rFonts w:ascii="Times New Roman" w:hAnsi="Times New Roman" w:cs="Times New Roman"/>
          <w:sz w:val="24"/>
          <w:szCs w:val="24"/>
          <w:lang w:bidi="en-US"/>
        </w:rPr>
        <w:t xml:space="preserve">After January 2019, </w:t>
      </w:r>
      <w:r w:rsidR="00952626">
        <w:rPr>
          <w:rFonts w:ascii="Times New Roman" w:hAnsi="Times New Roman" w:cs="Times New Roman"/>
          <w:sz w:val="24"/>
          <w:szCs w:val="24"/>
          <w:lang w:bidi="en-US"/>
        </w:rPr>
        <w:t xml:space="preserve">clean energy </w:t>
      </w:r>
      <w:r>
        <w:rPr>
          <w:rFonts w:ascii="Times New Roman" w:hAnsi="Times New Roman" w:cs="Times New Roman"/>
          <w:sz w:val="24"/>
          <w:szCs w:val="24"/>
          <w:lang w:bidi="en-US"/>
        </w:rPr>
        <w:t>stock prices increase</w:t>
      </w:r>
      <w:r w:rsidR="0078475B">
        <w:rPr>
          <w:rFonts w:ascii="Times New Roman" w:hAnsi="Times New Roman" w:cs="Times New Roman"/>
          <w:sz w:val="24"/>
          <w:szCs w:val="24"/>
          <w:lang w:bidi="en-US"/>
        </w:rPr>
        <w:t>d</w:t>
      </w:r>
      <w:r>
        <w:rPr>
          <w:rFonts w:ascii="Times New Roman" w:hAnsi="Times New Roman" w:cs="Times New Roman"/>
          <w:sz w:val="24"/>
          <w:szCs w:val="24"/>
          <w:lang w:bidi="en-US"/>
        </w:rPr>
        <w:t xml:space="preserve"> and peaked in </w:t>
      </w:r>
      <w:r w:rsidR="0078475B">
        <w:rPr>
          <w:rFonts w:ascii="Times New Roman" w:hAnsi="Times New Roman" w:cs="Times New Roman"/>
          <w:sz w:val="24"/>
          <w:szCs w:val="24"/>
          <w:lang w:bidi="en-US"/>
        </w:rPr>
        <w:t>early January of 2021. This time period reflects the onset of the COVID19 pandemic. After January of 2021 prices declined somewhat but as of March 2022 are still above the values recorded in 2019.</w:t>
      </w:r>
    </w:p>
    <w:p w14:paraId="515F3B49" w14:textId="4C8B6FDC" w:rsidR="0078475B" w:rsidRDefault="0078475B" w:rsidP="006E2AFE">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 xml:space="preserve">VIX and VXN display similar time paths (Figure 1b). These market volatility indices recorded high values during the 2008 to 2009 global financial crisis and the beginning of the COVID19 pandemic (March 2020). </w:t>
      </w:r>
      <w:r w:rsidR="00A52B23">
        <w:rPr>
          <w:rFonts w:ascii="Times New Roman" w:hAnsi="Times New Roman" w:cs="Times New Roman"/>
          <w:sz w:val="24"/>
          <w:szCs w:val="24"/>
          <w:lang w:bidi="en-US"/>
        </w:rPr>
        <w:t>Notice</w:t>
      </w:r>
      <w:r>
        <w:rPr>
          <w:rFonts w:ascii="Times New Roman" w:hAnsi="Times New Roman" w:cs="Times New Roman"/>
          <w:sz w:val="24"/>
          <w:szCs w:val="24"/>
          <w:lang w:bidi="en-US"/>
        </w:rPr>
        <w:t xml:space="preserve"> </w:t>
      </w:r>
      <w:r w:rsidR="00A6788D">
        <w:rPr>
          <w:rFonts w:ascii="Times New Roman" w:hAnsi="Times New Roman" w:cs="Times New Roman"/>
          <w:sz w:val="24"/>
          <w:szCs w:val="24"/>
          <w:lang w:bidi="en-US"/>
        </w:rPr>
        <w:t xml:space="preserve">that in March of 2020, there was a </w:t>
      </w:r>
      <w:r w:rsidR="00F77ED0">
        <w:rPr>
          <w:rFonts w:ascii="Times New Roman" w:hAnsi="Times New Roman" w:cs="Times New Roman"/>
          <w:sz w:val="24"/>
          <w:szCs w:val="24"/>
          <w:lang w:bidi="en-US"/>
        </w:rPr>
        <w:t>large</w:t>
      </w:r>
      <w:r>
        <w:rPr>
          <w:rFonts w:ascii="Times New Roman" w:hAnsi="Times New Roman" w:cs="Times New Roman"/>
          <w:sz w:val="24"/>
          <w:szCs w:val="24"/>
          <w:lang w:bidi="en-US"/>
        </w:rPr>
        <w:t xml:space="preserve"> increase in oil price volatility</w:t>
      </w:r>
      <w:r w:rsidR="00A52B23">
        <w:rPr>
          <w:rFonts w:ascii="Times New Roman" w:hAnsi="Times New Roman" w:cs="Times New Roman"/>
          <w:sz w:val="24"/>
          <w:szCs w:val="24"/>
          <w:lang w:bidi="en-US"/>
        </w:rPr>
        <w:t>. This was when</w:t>
      </w:r>
      <w:r>
        <w:rPr>
          <w:rFonts w:ascii="Times New Roman" w:hAnsi="Times New Roman" w:cs="Times New Roman"/>
          <w:sz w:val="24"/>
          <w:szCs w:val="24"/>
          <w:lang w:bidi="en-US"/>
        </w:rPr>
        <w:t xml:space="preserve"> the </w:t>
      </w:r>
      <w:r w:rsidR="00F77ED0">
        <w:rPr>
          <w:rFonts w:ascii="Times New Roman" w:hAnsi="Times New Roman" w:cs="Times New Roman"/>
          <w:sz w:val="24"/>
          <w:szCs w:val="24"/>
          <w:lang w:bidi="en-US"/>
        </w:rPr>
        <w:t xml:space="preserve">price of the </w:t>
      </w:r>
      <w:r>
        <w:rPr>
          <w:rFonts w:ascii="Times New Roman" w:hAnsi="Times New Roman" w:cs="Times New Roman"/>
          <w:sz w:val="24"/>
          <w:szCs w:val="24"/>
          <w:lang w:bidi="en-US"/>
        </w:rPr>
        <w:t xml:space="preserve">front month oil futures contract </w:t>
      </w:r>
      <w:r w:rsidR="00F77ED0">
        <w:rPr>
          <w:rFonts w:ascii="Times New Roman" w:hAnsi="Times New Roman" w:cs="Times New Roman"/>
          <w:sz w:val="24"/>
          <w:szCs w:val="24"/>
          <w:lang w:bidi="en-US"/>
        </w:rPr>
        <w:t>turned</w:t>
      </w:r>
      <w:r>
        <w:rPr>
          <w:rFonts w:ascii="Times New Roman" w:hAnsi="Times New Roman" w:cs="Times New Roman"/>
          <w:sz w:val="24"/>
          <w:szCs w:val="24"/>
          <w:lang w:bidi="en-US"/>
        </w:rPr>
        <w:t xml:space="preserve"> negative.</w:t>
      </w:r>
    </w:p>
    <w:p w14:paraId="5ECCB65B" w14:textId="235D6E53" w:rsidR="0078475B" w:rsidRDefault="0078475B" w:rsidP="006E2AFE">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Equity market uncertainty and economic policy uncertainty recorded high values during the global financial crisis and March 2020 (beginning o</w:t>
      </w:r>
      <w:r w:rsidR="004A7015">
        <w:rPr>
          <w:rFonts w:ascii="Times New Roman" w:hAnsi="Times New Roman" w:cs="Times New Roman"/>
          <w:sz w:val="24"/>
          <w:szCs w:val="24"/>
          <w:lang w:bidi="en-US"/>
        </w:rPr>
        <w:t>f</w:t>
      </w:r>
      <w:r>
        <w:rPr>
          <w:rFonts w:ascii="Times New Roman" w:hAnsi="Times New Roman" w:cs="Times New Roman"/>
          <w:sz w:val="24"/>
          <w:szCs w:val="24"/>
          <w:lang w:bidi="en-US"/>
        </w:rPr>
        <w:t xml:space="preserve"> the COVID19 pandemic)</w:t>
      </w:r>
      <w:r w:rsidR="00E73F89">
        <w:rPr>
          <w:rFonts w:ascii="Times New Roman" w:hAnsi="Times New Roman" w:cs="Times New Roman"/>
          <w:sz w:val="24"/>
          <w:szCs w:val="24"/>
          <w:lang w:bidi="en-US"/>
        </w:rPr>
        <w:t xml:space="preserve"> </w:t>
      </w:r>
      <w:r w:rsidR="00E73F89">
        <w:rPr>
          <w:rFonts w:ascii="Times New Roman" w:hAnsi="Times New Roman" w:cs="Times New Roman"/>
          <w:sz w:val="24"/>
          <w:szCs w:val="24"/>
          <w:lang w:bidi="en-US"/>
        </w:rPr>
        <w:t>(Figure 1</w:t>
      </w:r>
      <w:r w:rsidR="00E73F89">
        <w:rPr>
          <w:rFonts w:ascii="Times New Roman" w:hAnsi="Times New Roman" w:cs="Times New Roman"/>
          <w:sz w:val="24"/>
          <w:szCs w:val="24"/>
          <w:lang w:bidi="en-US"/>
        </w:rPr>
        <w:t>c</w:t>
      </w:r>
      <w:r w:rsidR="00E73F89">
        <w:rPr>
          <w:rFonts w:ascii="Times New Roman" w:hAnsi="Times New Roman" w:cs="Times New Roman"/>
          <w:sz w:val="24"/>
          <w:szCs w:val="24"/>
          <w:lang w:bidi="en-US"/>
        </w:rPr>
        <w:t>)</w:t>
      </w:r>
      <w:r>
        <w:rPr>
          <w:rFonts w:ascii="Times New Roman" w:hAnsi="Times New Roman" w:cs="Times New Roman"/>
          <w:sz w:val="24"/>
          <w:szCs w:val="24"/>
          <w:lang w:bidi="en-US"/>
        </w:rPr>
        <w:t>. The COVID19 pandemic had been detected in late 2019 and was a topic o</w:t>
      </w:r>
      <w:r w:rsidR="00D43DA0">
        <w:rPr>
          <w:rFonts w:ascii="Times New Roman" w:hAnsi="Times New Roman" w:cs="Times New Roman"/>
          <w:sz w:val="24"/>
          <w:szCs w:val="24"/>
          <w:lang w:bidi="en-US"/>
        </w:rPr>
        <w:t>f</w:t>
      </w:r>
      <w:r>
        <w:rPr>
          <w:rFonts w:ascii="Times New Roman" w:hAnsi="Times New Roman" w:cs="Times New Roman"/>
          <w:sz w:val="24"/>
          <w:szCs w:val="24"/>
          <w:lang w:bidi="en-US"/>
        </w:rPr>
        <w:t xml:space="preserve"> concern in early 2020 but i</w:t>
      </w:r>
      <w:r w:rsidR="00952626">
        <w:rPr>
          <w:rFonts w:ascii="Times New Roman" w:hAnsi="Times New Roman" w:cs="Times New Roman"/>
          <w:sz w:val="24"/>
          <w:szCs w:val="24"/>
          <w:lang w:bidi="en-US"/>
        </w:rPr>
        <w:t>t</w:t>
      </w:r>
      <w:r>
        <w:rPr>
          <w:rFonts w:ascii="Times New Roman" w:hAnsi="Times New Roman" w:cs="Times New Roman"/>
          <w:sz w:val="24"/>
          <w:szCs w:val="24"/>
          <w:lang w:bidi="en-US"/>
        </w:rPr>
        <w:t xml:space="preserve"> was declared a global pandemic </w:t>
      </w:r>
      <w:r w:rsidR="00D43DA0">
        <w:rPr>
          <w:rFonts w:ascii="Times New Roman" w:hAnsi="Times New Roman" w:cs="Times New Roman"/>
          <w:sz w:val="24"/>
          <w:szCs w:val="24"/>
          <w:lang w:bidi="en-US"/>
        </w:rPr>
        <w:t xml:space="preserve">by the World Health Organization </w:t>
      </w:r>
      <w:r>
        <w:rPr>
          <w:rFonts w:ascii="Times New Roman" w:hAnsi="Times New Roman" w:cs="Times New Roman"/>
          <w:sz w:val="24"/>
          <w:szCs w:val="24"/>
          <w:lang w:bidi="en-US"/>
        </w:rPr>
        <w:t>in March 2020</w:t>
      </w:r>
      <w:r w:rsidR="00D43DA0">
        <w:rPr>
          <w:rFonts w:ascii="Times New Roman" w:hAnsi="Times New Roman" w:cs="Times New Roman"/>
          <w:sz w:val="24"/>
          <w:szCs w:val="24"/>
          <w:lang w:bidi="en-US"/>
        </w:rPr>
        <w:t xml:space="preserve">. This is reflected in the time pattern of the </w:t>
      </w:r>
      <w:r w:rsidR="008D6275">
        <w:rPr>
          <w:rFonts w:ascii="Times New Roman" w:hAnsi="Times New Roman" w:cs="Times New Roman"/>
          <w:sz w:val="24"/>
          <w:szCs w:val="24"/>
          <w:lang w:bidi="en-US"/>
        </w:rPr>
        <w:t>equity market volatility infectious disease tracker (</w:t>
      </w:r>
      <w:r w:rsidR="00D43DA0">
        <w:rPr>
          <w:rFonts w:ascii="Times New Roman" w:hAnsi="Times New Roman" w:cs="Times New Roman"/>
          <w:sz w:val="24"/>
          <w:szCs w:val="24"/>
          <w:lang w:bidi="en-US"/>
        </w:rPr>
        <w:t>EMV_IDT</w:t>
      </w:r>
      <w:r w:rsidR="008D6275">
        <w:rPr>
          <w:rFonts w:ascii="Times New Roman" w:hAnsi="Times New Roman" w:cs="Times New Roman"/>
          <w:sz w:val="24"/>
          <w:szCs w:val="24"/>
          <w:lang w:bidi="en-US"/>
        </w:rPr>
        <w:t>)</w:t>
      </w:r>
      <w:r w:rsidR="00D43DA0">
        <w:rPr>
          <w:rFonts w:ascii="Times New Roman" w:hAnsi="Times New Roman" w:cs="Times New Roman"/>
          <w:sz w:val="24"/>
          <w:szCs w:val="24"/>
          <w:lang w:bidi="en-US"/>
        </w:rPr>
        <w:t>.</w:t>
      </w:r>
    </w:p>
    <w:p w14:paraId="3AC8D0D5" w14:textId="450044E2" w:rsidR="003F0B47" w:rsidRDefault="003F0B47" w:rsidP="006E2AFE">
      <w:pPr>
        <w:spacing w:after="0" w:line="480" w:lineRule="auto"/>
        <w:ind w:firstLine="720"/>
        <w:rPr>
          <w:rFonts w:ascii="Times New Roman" w:hAnsi="Times New Roman" w:cs="Times New Roman"/>
          <w:sz w:val="24"/>
          <w:szCs w:val="24"/>
          <w:lang w:bidi="en-US"/>
        </w:rPr>
      </w:pPr>
    </w:p>
    <w:p w14:paraId="321F3E36" w14:textId="62DC6D7A" w:rsidR="00F37E30" w:rsidRDefault="00F37E30" w:rsidP="00200037">
      <w:pPr>
        <w:spacing w:after="0" w:line="480" w:lineRule="auto"/>
        <w:ind w:firstLine="720"/>
        <w:rPr>
          <w:rFonts w:ascii="Times New Roman" w:hAnsi="Times New Roman" w:cs="Times New Roman"/>
          <w:sz w:val="24"/>
          <w:szCs w:val="24"/>
          <w:lang w:bidi="en-US"/>
        </w:rPr>
      </w:pPr>
    </w:p>
    <w:p w14:paraId="3D60C02E" w14:textId="74C51C8A" w:rsidR="00BF3434" w:rsidRDefault="008149A8" w:rsidP="00200037">
      <w:pPr>
        <w:spacing w:after="0" w:line="480" w:lineRule="auto"/>
        <w:ind w:firstLine="720"/>
        <w:rPr>
          <w:rFonts w:ascii="Times New Roman" w:hAnsi="Times New Roman" w:cs="Times New Roman"/>
          <w:sz w:val="24"/>
          <w:szCs w:val="24"/>
          <w:lang w:bidi="en-US"/>
        </w:rPr>
      </w:pPr>
      <w:r>
        <w:rPr>
          <w:noProof/>
        </w:rPr>
        <w:lastRenderedPageBreak/>
        <w:drawing>
          <wp:inline distT="0" distB="0" distL="0" distR="0" wp14:anchorId="6A9812F3" wp14:editId="0F8ECFC3">
            <wp:extent cx="5523230" cy="5523230"/>
            <wp:effectExtent l="0" t="0" r="127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3230" cy="5523230"/>
                    </a:xfrm>
                    <a:prstGeom prst="rect">
                      <a:avLst/>
                    </a:prstGeom>
                    <a:noFill/>
                    <a:ln>
                      <a:noFill/>
                    </a:ln>
                  </pic:spPr>
                </pic:pic>
              </a:graphicData>
            </a:graphic>
          </wp:inline>
        </w:drawing>
      </w:r>
    </w:p>
    <w:p w14:paraId="533F67DD" w14:textId="77777777" w:rsidR="00BF3434" w:rsidRDefault="00BF3434" w:rsidP="00200037">
      <w:pPr>
        <w:spacing w:after="0" w:line="480" w:lineRule="auto"/>
        <w:ind w:firstLine="720"/>
        <w:rPr>
          <w:rFonts w:ascii="Times New Roman" w:hAnsi="Times New Roman" w:cs="Times New Roman"/>
          <w:sz w:val="24"/>
          <w:szCs w:val="24"/>
          <w:lang w:bidi="en-US"/>
        </w:rPr>
      </w:pPr>
    </w:p>
    <w:p w14:paraId="3552F7E5" w14:textId="5598BDE1" w:rsidR="00BF3434" w:rsidRDefault="00BF3434" w:rsidP="00BF3434">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Figure 1a. Time series plots of the clean energy ETFs.</w:t>
      </w:r>
    </w:p>
    <w:p w14:paraId="3DF97BBD" w14:textId="4AFCD8B1" w:rsidR="00BF3434" w:rsidRDefault="00BF3434" w:rsidP="00200037">
      <w:pPr>
        <w:spacing w:after="0" w:line="480" w:lineRule="auto"/>
        <w:ind w:firstLine="720"/>
        <w:rPr>
          <w:rFonts w:ascii="Times New Roman" w:hAnsi="Times New Roman" w:cs="Times New Roman"/>
          <w:sz w:val="24"/>
          <w:szCs w:val="24"/>
          <w:lang w:bidi="en-US"/>
        </w:rPr>
      </w:pPr>
    </w:p>
    <w:p w14:paraId="6111E999" w14:textId="4724EF62" w:rsidR="00BF3434" w:rsidRDefault="00BF3434" w:rsidP="00200037">
      <w:pPr>
        <w:spacing w:after="0" w:line="480" w:lineRule="auto"/>
        <w:ind w:firstLine="720"/>
        <w:rPr>
          <w:rFonts w:ascii="Times New Roman" w:hAnsi="Times New Roman" w:cs="Times New Roman"/>
          <w:sz w:val="24"/>
          <w:szCs w:val="24"/>
          <w:lang w:bidi="en-US"/>
        </w:rPr>
      </w:pPr>
    </w:p>
    <w:p w14:paraId="6F006162" w14:textId="159E208D" w:rsidR="00BF3434" w:rsidRDefault="008149A8" w:rsidP="00200037">
      <w:pPr>
        <w:spacing w:after="0" w:line="480" w:lineRule="auto"/>
        <w:ind w:firstLine="720"/>
        <w:rPr>
          <w:rFonts w:ascii="Times New Roman" w:hAnsi="Times New Roman" w:cs="Times New Roman"/>
          <w:sz w:val="24"/>
          <w:szCs w:val="24"/>
          <w:lang w:bidi="en-US"/>
        </w:rPr>
      </w:pPr>
      <w:r>
        <w:rPr>
          <w:noProof/>
        </w:rPr>
        <w:lastRenderedPageBreak/>
        <w:drawing>
          <wp:inline distT="0" distB="0" distL="0" distR="0" wp14:anchorId="216C13A9" wp14:editId="478A0993">
            <wp:extent cx="5523230" cy="5523230"/>
            <wp:effectExtent l="0" t="0" r="127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3230" cy="5523230"/>
                    </a:xfrm>
                    <a:prstGeom prst="rect">
                      <a:avLst/>
                    </a:prstGeom>
                    <a:noFill/>
                    <a:ln>
                      <a:noFill/>
                    </a:ln>
                  </pic:spPr>
                </pic:pic>
              </a:graphicData>
            </a:graphic>
          </wp:inline>
        </w:drawing>
      </w:r>
    </w:p>
    <w:p w14:paraId="0283938D" w14:textId="1937D8C8" w:rsidR="00BF3434" w:rsidRDefault="00BF3434" w:rsidP="00BF3434">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 xml:space="preserve">Figure 1b. Time series plots of </w:t>
      </w:r>
      <w:r w:rsidR="00E73F89">
        <w:rPr>
          <w:rFonts w:ascii="Times New Roman" w:hAnsi="Times New Roman" w:cs="Times New Roman"/>
          <w:sz w:val="24"/>
          <w:szCs w:val="24"/>
          <w:lang w:bidi="en-US"/>
        </w:rPr>
        <w:t xml:space="preserve">financial </w:t>
      </w:r>
      <w:r>
        <w:rPr>
          <w:rFonts w:ascii="Times New Roman" w:hAnsi="Times New Roman" w:cs="Times New Roman"/>
          <w:sz w:val="24"/>
          <w:szCs w:val="24"/>
          <w:lang w:bidi="en-US"/>
        </w:rPr>
        <w:t>market volatility.</w:t>
      </w:r>
    </w:p>
    <w:p w14:paraId="0E5C35AB" w14:textId="0CC04511" w:rsidR="00BF3434" w:rsidRDefault="00BF3434" w:rsidP="00200037">
      <w:pPr>
        <w:spacing w:after="0" w:line="480" w:lineRule="auto"/>
        <w:ind w:firstLine="720"/>
        <w:rPr>
          <w:rFonts w:ascii="Times New Roman" w:hAnsi="Times New Roman" w:cs="Times New Roman"/>
          <w:sz w:val="24"/>
          <w:szCs w:val="24"/>
          <w:lang w:bidi="en-US"/>
        </w:rPr>
      </w:pPr>
    </w:p>
    <w:p w14:paraId="47266389" w14:textId="44321A09" w:rsidR="00BF3434" w:rsidRDefault="008149A8" w:rsidP="00200037">
      <w:pPr>
        <w:spacing w:after="0" w:line="480" w:lineRule="auto"/>
        <w:ind w:firstLine="720"/>
        <w:rPr>
          <w:rFonts w:ascii="Times New Roman" w:hAnsi="Times New Roman" w:cs="Times New Roman"/>
          <w:sz w:val="24"/>
          <w:szCs w:val="24"/>
          <w:lang w:bidi="en-US"/>
        </w:rPr>
      </w:pPr>
      <w:r>
        <w:rPr>
          <w:noProof/>
        </w:rPr>
        <w:lastRenderedPageBreak/>
        <w:drawing>
          <wp:inline distT="0" distB="0" distL="0" distR="0" wp14:anchorId="1A09DCFA" wp14:editId="3497F22B">
            <wp:extent cx="5523230" cy="5523230"/>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3230" cy="5523230"/>
                    </a:xfrm>
                    <a:prstGeom prst="rect">
                      <a:avLst/>
                    </a:prstGeom>
                    <a:noFill/>
                    <a:ln>
                      <a:noFill/>
                    </a:ln>
                  </pic:spPr>
                </pic:pic>
              </a:graphicData>
            </a:graphic>
          </wp:inline>
        </w:drawing>
      </w:r>
    </w:p>
    <w:p w14:paraId="665A5534" w14:textId="5E324B3D" w:rsidR="00BF3434" w:rsidRDefault="00BF3434" w:rsidP="00BF3434">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Figure 1c. Time series plots of uncertainty</w:t>
      </w:r>
      <w:r w:rsidR="00E73F89">
        <w:rPr>
          <w:rFonts w:ascii="Times New Roman" w:hAnsi="Times New Roman" w:cs="Times New Roman"/>
          <w:sz w:val="24"/>
          <w:szCs w:val="24"/>
          <w:lang w:bidi="en-US"/>
        </w:rPr>
        <w:t xml:space="preserve"> indicators</w:t>
      </w:r>
      <w:r>
        <w:rPr>
          <w:rFonts w:ascii="Times New Roman" w:hAnsi="Times New Roman" w:cs="Times New Roman"/>
          <w:sz w:val="24"/>
          <w:szCs w:val="24"/>
          <w:lang w:bidi="en-US"/>
        </w:rPr>
        <w:t>.</w:t>
      </w:r>
    </w:p>
    <w:p w14:paraId="264EB875" w14:textId="77777777" w:rsidR="00542D57" w:rsidRDefault="00542D57" w:rsidP="00200037">
      <w:pPr>
        <w:spacing w:after="0" w:line="480" w:lineRule="auto"/>
        <w:ind w:firstLine="720"/>
        <w:rPr>
          <w:rFonts w:ascii="Times New Roman" w:hAnsi="Times New Roman" w:cs="Times New Roman"/>
          <w:sz w:val="24"/>
          <w:szCs w:val="24"/>
          <w:lang w:bidi="en-US"/>
        </w:rPr>
      </w:pPr>
    </w:p>
    <w:p w14:paraId="623151A1" w14:textId="525E1A00" w:rsidR="009E08E4" w:rsidRDefault="00D4569D" w:rsidP="00200037">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 xml:space="preserve">Of the three ETFs, only </w:t>
      </w:r>
      <w:r w:rsidR="00D60CC6">
        <w:rPr>
          <w:rFonts w:ascii="Times New Roman" w:hAnsi="Times New Roman" w:cs="Times New Roman"/>
          <w:sz w:val="24"/>
          <w:szCs w:val="24"/>
          <w:lang w:bidi="en-US"/>
        </w:rPr>
        <w:t xml:space="preserve">QCLN </w:t>
      </w:r>
      <w:r w:rsidR="00CC2262">
        <w:rPr>
          <w:rFonts w:ascii="Times New Roman" w:hAnsi="Times New Roman" w:cs="Times New Roman"/>
          <w:sz w:val="24"/>
          <w:szCs w:val="24"/>
          <w:lang w:bidi="en-US"/>
        </w:rPr>
        <w:t xml:space="preserve">had a positive </w:t>
      </w:r>
      <w:r w:rsidR="00743207">
        <w:rPr>
          <w:rFonts w:ascii="Times New Roman" w:hAnsi="Times New Roman" w:cs="Times New Roman"/>
          <w:sz w:val="24"/>
          <w:szCs w:val="24"/>
          <w:lang w:bidi="en-US"/>
        </w:rPr>
        <w:t>average</w:t>
      </w:r>
      <w:r w:rsidR="00CC2262">
        <w:rPr>
          <w:rFonts w:ascii="Times New Roman" w:hAnsi="Times New Roman" w:cs="Times New Roman"/>
          <w:sz w:val="24"/>
          <w:szCs w:val="24"/>
          <w:lang w:bidi="en-US"/>
        </w:rPr>
        <w:t xml:space="preserve"> </w:t>
      </w:r>
      <w:r>
        <w:rPr>
          <w:rFonts w:ascii="Times New Roman" w:hAnsi="Times New Roman" w:cs="Times New Roman"/>
          <w:sz w:val="24"/>
          <w:szCs w:val="24"/>
          <w:lang w:bidi="en-US"/>
        </w:rPr>
        <w:t>return</w:t>
      </w:r>
      <w:r w:rsidR="00CC2262">
        <w:rPr>
          <w:rFonts w:ascii="Times New Roman" w:hAnsi="Times New Roman" w:cs="Times New Roman"/>
          <w:sz w:val="24"/>
          <w:szCs w:val="24"/>
          <w:lang w:bidi="en-US"/>
        </w:rPr>
        <w:t xml:space="preserve"> over the sample period</w:t>
      </w:r>
      <w:r w:rsidR="00D60CC6">
        <w:rPr>
          <w:rFonts w:ascii="Times New Roman" w:hAnsi="Times New Roman" w:cs="Times New Roman"/>
          <w:sz w:val="24"/>
          <w:szCs w:val="24"/>
          <w:lang w:bidi="en-US"/>
        </w:rPr>
        <w:t xml:space="preserve"> (Table </w:t>
      </w:r>
      <w:r w:rsidR="0031184F">
        <w:rPr>
          <w:rFonts w:ascii="Times New Roman" w:hAnsi="Times New Roman" w:cs="Times New Roman"/>
          <w:sz w:val="24"/>
          <w:szCs w:val="24"/>
          <w:lang w:bidi="en-US"/>
        </w:rPr>
        <w:t>1</w:t>
      </w:r>
      <w:r w:rsidR="00D60CC6">
        <w:rPr>
          <w:rFonts w:ascii="Times New Roman" w:hAnsi="Times New Roman" w:cs="Times New Roman"/>
          <w:sz w:val="24"/>
          <w:szCs w:val="24"/>
          <w:lang w:bidi="en-US"/>
        </w:rPr>
        <w:t xml:space="preserve">). </w:t>
      </w:r>
      <w:r w:rsidR="00DD26DA">
        <w:rPr>
          <w:rFonts w:ascii="Times New Roman" w:hAnsi="Times New Roman" w:cs="Times New Roman"/>
          <w:sz w:val="24"/>
          <w:szCs w:val="24"/>
          <w:lang w:bidi="en-US"/>
        </w:rPr>
        <w:t xml:space="preserve">Returns are calculated </w:t>
      </w:r>
      <w:r w:rsidR="00743207">
        <w:rPr>
          <w:rFonts w:ascii="Times New Roman" w:hAnsi="Times New Roman" w:cs="Times New Roman"/>
          <w:sz w:val="24"/>
          <w:szCs w:val="24"/>
          <w:lang w:bidi="en-US"/>
        </w:rPr>
        <w:t>using the formula</w:t>
      </w:r>
      <w:r w:rsidR="00DD26DA">
        <w:rPr>
          <w:rFonts w:ascii="Times New Roman" w:hAnsi="Times New Roman" w:cs="Times New Roman"/>
          <w:sz w:val="24"/>
          <w:szCs w:val="24"/>
          <w:lang w:bidi="en-US"/>
        </w:rPr>
        <w:t xml:space="preserve"> 100*ln(</w:t>
      </w:r>
      <w:proofErr w:type="spellStart"/>
      <w:r w:rsidR="00DD26DA">
        <w:rPr>
          <w:rFonts w:ascii="Times New Roman" w:hAnsi="Times New Roman" w:cs="Times New Roman"/>
          <w:sz w:val="24"/>
          <w:szCs w:val="24"/>
          <w:lang w:bidi="en-US"/>
        </w:rPr>
        <w:t>p</w:t>
      </w:r>
      <w:r w:rsidR="00DD26DA" w:rsidRPr="00CC2262">
        <w:rPr>
          <w:rFonts w:ascii="Times New Roman" w:hAnsi="Times New Roman" w:cs="Times New Roman"/>
          <w:sz w:val="24"/>
          <w:szCs w:val="24"/>
          <w:vertAlign w:val="subscript"/>
          <w:lang w:bidi="en-US"/>
        </w:rPr>
        <w:t>t</w:t>
      </w:r>
      <w:proofErr w:type="spellEnd"/>
      <w:r w:rsidR="00DD26DA">
        <w:rPr>
          <w:rFonts w:ascii="Times New Roman" w:hAnsi="Times New Roman" w:cs="Times New Roman"/>
          <w:sz w:val="24"/>
          <w:szCs w:val="24"/>
          <w:lang w:bidi="en-US"/>
        </w:rPr>
        <w:t>/p</w:t>
      </w:r>
      <w:r w:rsidR="00DD26DA" w:rsidRPr="00CC2262">
        <w:rPr>
          <w:rFonts w:ascii="Times New Roman" w:hAnsi="Times New Roman" w:cs="Times New Roman"/>
          <w:sz w:val="24"/>
          <w:szCs w:val="24"/>
          <w:vertAlign w:val="subscript"/>
          <w:lang w:bidi="en-US"/>
        </w:rPr>
        <w:t>t-1</w:t>
      </w:r>
      <w:r w:rsidR="00DD26DA">
        <w:rPr>
          <w:rFonts w:ascii="Times New Roman" w:hAnsi="Times New Roman" w:cs="Times New Roman"/>
          <w:sz w:val="24"/>
          <w:szCs w:val="24"/>
          <w:lang w:bidi="en-US"/>
        </w:rPr>
        <w:t xml:space="preserve">) where </w:t>
      </w:r>
      <w:proofErr w:type="spellStart"/>
      <w:r w:rsidR="00DD26DA">
        <w:rPr>
          <w:rFonts w:ascii="Times New Roman" w:hAnsi="Times New Roman" w:cs="Times New Roman"/>
          <w:sz w:val="24"/>
          <w:szCs w:val="24"/>
          <w:lang w:bidi="en-US"/>
        </w:rPr>
        <w:t>p</w:t>
      </w:r>
      <w:r w:rsidR="00DD26DA" w:rsidRPr="00CC2262">
        <w:rPr>
          <w:rFonts w:ascii="Times New Roman" w:hAnsi="Times New Roman" w:cs="Times New Roman"/>
          <w:sz w:val="24"/>
          <w:szCs w:val="24"/>
          <w:vertAlign w:val="subscript"/>
          <w:lang w:bidi="en-US"/>
        </w:rPr>
        <w:t>t</w:t>
      </w:r>
      <w:proofErr w:type="spellEnd"/>
      <w:r w:rsidR="00DD26DA">
        <w:rPr>
          <w:rFonts w:ascii="Times New Roman" w:hAnsi="Times New Roman" w:cs="Times New Roman"/>
          <w:sz w:val="24"/>
          <w:szCs w:val="24"/>
          <w:lang w:bidi="en-US"/>
        </w:rPr>
        <w:t xml:space="preserve"> is the adjusted closing price of the asset, or index value, at time period t. </w:t>
      </w:r>
      <w:r>
        <w:rPr>
          <w:rFonts w:ascii="Times New Roman" w:hAnsi="Times New Roman" w:cs="Times New Roman"/>
          <w:sz w:val="24"/>
          <w:szCs w:val="24"/>
          <w:lang w:bidi="en-US"/>
        </w:rPr>
        <w:t>T</w:t>
      </w:r>
      <w:r w:rsidR="00D60CC6">
        <w:rPr>
          <w:rFonts w:ascii="Times New Roman" w:hAnsi="Times New Roman" w:cs="Times New Roman"/>
          <w:sz w:val="24"/>
          <w:szCs w:val="24"/>
          <w:lang w:bidi="en-US"/>
        </w:rPr>
        <w:t>he coefficient of variation</w:t>
      </w:r>
      <w:r>
        <w:rPr>
          <w:rFonts w:ascii="Times New Roman" w:hAnsi="Times New Roman" w:cs="Times New Roman"/>
          <w:sz w:val="24"/>
          <w:szCs w:val="24"/>
          <w:lang w:bidi="en-US"/>
        </w:rPr>
        <w:t xml:space="preserve"> values indicate</w:t>
      </w:r>
      <w:r w:rsidR="008D6275">
        <w:rPr>
          <w:rFonts w:ascii="Times New Roman" w:hAnsi="Times New Roman" w:cs="Times New Roman"/>
          <w:sz w:val="24"/>
          <w:szCs w:val="24"/>
          <w:lang w:bidi="en-US"/>
        </w:rPr>
        <w:t>s</w:t>
      </w:r>
      <w:r>
        <w:rPr>
          <w:rFonts w:ascii="Times New Roman" w:hAnsi="Times New Roman" w:cs="Times New Roman"/>
          <w:sz w:val="24"/>
          <w:szCs w:val="24"/>
          <w:lang w:bidi="en-US"/>
        </w:rPr>
        <w:t xml:space="preserve"> that</w:t>
      </w:r>
      <w:r w:rsidR="00D60CC6">
        <w:rPr>
          <w:rFonts w:ascii="Times New Roman" w:hAnsi="Times New Roman" w:cs="Times New Roman"/>
          <w:sz w:val="24"/>
          <w:szCs w:val="24"/>
          <w:lang w:bidi="en-US"/>
        </w:rPr>
        <w:t xml:space="preserve"> OVX is more variable than VIX and VIX is more variable than VXN. Among the uncertainty indices, EMV_IDT is the mo</w:t>
      </w:r>
      <w:r>
        <w:rPr>
          <w:rFonts w:ascii="Times New Roman" w:hAnsi="Times New Roman" w:cs="Times New Roman"/>
          <w:sz w:val="24"/>
          <w:szCs w:val="24"/>
          <w:lang w:bidi="en-US"/>
        </w:rPr>
        <w:t>st</w:t>
      </w:r>
      <w:r w:rsidR="00D60CC6">
        <w:rPr>
          <w:rFonts w:ascii="Times New Roman" w:hAnsi="Times New Roman" w:cs="Times New Roman"/>
          <w:sz w:val="24"/>
          <w:szCs w:val="24"/>
          <w:lang w:bidi="en-US"/>
        </w:rPr>
        <w:t xml:space="preserve"> variable and EPU is the least variable. </w:t>
      </w:r>
      <w:r w:rsidR="00743207">
        <w:rPr>
          <w:rFonts w:ascii="Times New Roman" w:hAnsi="Times New Roman" w:cs="Times New Roman"/>
          <w:sz w:val="24"/>
          <w:szCs w:val="24"/>
          <w:lang w:bidi="en-US"/>
        </w:rPr>
        <w:t>T</w:t>
      </w:r>
      <w:r w:rsidR="00CC2262">
        <w:rPr>
          <w:rFonts w:ascii="Times New Roman" w:hAnsi="Times New Roman" w:cs="Times New Roman"/>
          <w:sz w:val="24"/>
          <w:szCs w:val="24"/>
          <w:lang w:bidi="en-US"/>
        </w:rPr>
        <w:t xml:space="preserve">he data </w:t>
      </w:r>
      <w:r w:rsidR="00743207">
        <w:rPr>
          <w:rFonts w:ascii="Times New Roman" w:hAnsi="Times New Roman" w:cs="Times New Roman"/>
          <w:sz w:val="24"/>
          <w:szCs w:val="24"/>
          <w:lang w:bidi="en-US"/>
        </w:rPr>
        <w:lastRenderedPageBreak/>
        <w:t xml:space="preserve">display non-normality </w:t>
      </w:r>
      <w:r w:rsidR="00CC2262">
        <w:rPr>
          <w:rFonts w:ascii="Times New Roman" w:hAnsi="Times New Roman" w:cs="Times New Roman"/>
          <w:sz w:val="24"/>
          <w:szCs w:val="24"/>
          <w:lang w:bidi="en-US"/>
        </w:rPr>
        <w:t xml:space="preserve">as for each variable the median is different from the mean, </w:t>
      </w:r>
      <w:r w:rsidR="00CD32EA">
        <w:rPr>
          <w:rFonts w:ascii="Times New Roman" w:hAnsi="Times New Roman" w:cs="Times New Roman"/>
          <w:sz w:val="24"/>
          <w:szCs w:val="24"/>
          <w:lang w:bidi="en-US"/>
        </w:rPr>
        <w:t>kurtosis</w:t>
      </w:r>
      <w:r w:rsidR="00CC2262">
        <w:rPr>
          <w:rFonts w:ascii="Times New Roman" w:hAnsi="Times New Roman" w:cs="Times New Roman"/>
          <w:sz w:val="24"/>
          <w:szCs w:val="24"/>
          <w:lang w:bidi="en-US"/>
        </w:rPr>
        <w:t xml:space="preserve"> and </w:t>
      </w:r>
      <w:r w:rsidR="00CD32EA">
        <w:rPr>
          <w:rFonts w:ascii="Times New Roman" w:hAnsi="Times New Roman" w:cs="Times New Roman"/>
          <w:sz w:val="24"/>
          <w:szCs w:val="24"/>
          <w:lang w:bidi="en-US"/>
        </w:rPr>
        <w:t>skewness</w:t>
      </w:r>
      <w:r w:rsidR="00CD32EA" w:rsidRPr="00CD32EA">
        <w:rPr>
          <w:rFonts w:ascii="Times New Roman" w:hAnsi="Times New Roman" w:cs="Times New Roman"/>
          <w:sz w:val="24"/>
          <w:szCs w:val="24"/>
          <w:lang w:bidi="en-US"/>
        </w:rPr>
        <w:t xml:space="preserve"> </w:t>
      </w:r>
      <w:r w:rsidR="00CC2262">
        <w:rPr>
          <w:rFonts w:ascii="Times New Roman" w:hAnsi="Times New Roman" w:cs="Times New Roman"/>
          <w:sz w:val="24"/>
          <w:szCs w:val="24"/>
          <w:lang w:bidi="en-US"/>
        </w:rPr>
        <w:t xml:space="preserve">are </w:t>
      </w:r>
      <w:r>
        <w:rPr>
          <w:rFonts w:ascii="Times New Roman" w:hAnsi="Times New Roman" w:cs="Times New Roman"/>
          <w:sz w:val="24"/>
          <w:szCs w:val="24"/>
          <w:lang w:bidi="en-US"/>
        </w:rPr>
        <w:t>present</w:t>
      </w:r>
      <w:r w:rsidR="00CC2262">
        <w:rPr>
          <w:rFonts w:ascii="Times New Roman" w:hAnsi="Times New Roman" w:cs="Times New Roman"/>
          <w:sz w:val="24"/>
          <w:szCs w:val="24"/>
          <w:lang w:bidi="en-US"/>
        </w:rPr>
        <w:t>, and the null hypothesis of normality</w:t>
      </w:r>
      <w:r w:rsidR="007B314F">
        <w:rPr>
          <w:rFonts w:ascii="Times New Roman" w:hAnsi="Times New Roman" w:cs="Times New Roman"/>
          <w:sz w:val="24"/>
          <w:szCs w:val="24"/>
          <w:lang w:bidi="en-US"/>
        </w:rPr>
        <w:t xml:space="preserve"> is rejected</w:t>
      </w:r>
      <w:r w:rsidR="00CC2262">
        <w:rPr>
          <w:rFonts w:ascii="Times New Roman" w:hAnsi="Times New Roman" w:cs="Times New Roman"/>
          <w:sz w:val="24"/>
          <w:szCs w:val="24"/>
          <w:lang w:bidi="en-US"/>
        </w:rPr>
        <w:t>.</w:t>
      </w:r>
    </w:p>
    <w:p w14:paraId="75601618" w14:textId="023C93A1" w:rsidR="009E08E4" w:rsidRDefault="009E08E4" w:rsidP="00200037">
      <w:pPr>
        <w:spacing w:after="0" w:line="480" w:lineRule="auto"/>
        <w:ind w:firstLine="720"/>
        <w:rPr>
          <w:rFonts w:ascii="Times New Roman" w:hAnsi="Times New Roman" w:cs="Times New Roman"/>
          <w:sz w:val="24"/>
          <w:szCs w:val="24"/>
          <w:lang w:bidi="en-US"/>
        </w:rPr>
      </w:pPr>
    </w:p>
    <w:p w14:paraId="68F8332B" w14:textId="34E8BDF6" w:rsidR="009E08E4" w:rsidRPr="009E08E4" w:rsidRDefault="009E08E4" w:rsidP="009E08E4">
      <w:pPr>
        <w:spacing w:after="0" w:line="240" w:lineRule="auto"/>
        <w:rPr>
          <w:rFonts w:ascii="Times New Roman" w:hAnsi="Times New Roman" w:cs="Times New Roman"/>
          <w:sz w:val="24"/>
          <w:szCs w:val="24"/>
        </w:rPr>
      </w:pPr>
      <w:r w:rsidRPr="00064660">
        <w:rPr>
          <w:rFonts w:ascii="Times New Roman" w:hAnsi="Times New Roman" w:cs="Times New Roman"/>
          <w:sz w:val="24"/>
          <w:szCs w:val="24"/>
        </w:rPr>
        <w:t xml:space="preserve">Table </w:t>
      </w:r>
      <w:r w:rsidR="0031184F">
        <w:rPr>
          <w:rFonts w:ascii="Times New Roman" w:hAnsi="Times New Roman" w:cs="Times New Roman"/>
          <w:sz w:val="24"/>
          <w:szCs w:val="24"/>
        </w:rPr>
        <w:t>1</w:t>
      </w:r>
      <w:r w:rsidRPr="00064660">
        <w:rPr>
          <w:rFonts w:ascii="Times New Roman" w:hAnsi="Times New Roman" w:cs="Times New Roman"/>
          <w:sz w:val="24"/>
          <w:szCs w:val="24"/>
        </w:rPr>
        <w:t>. Summary statistics.</w:t>
      </w:r>
    </w:p>
    <w:tbl>
      <w:tblPr>
        <w:tblW w:w="10534" w:type="dxa"/>
        <w:tblLook w:val="04A0" w:firstRow="1" w:lastRow="0" w:firstColumn="1" w:lastColumn="0" w:noHBand="0" w:noVBand="1"/>
      </w:tblPr>
      <w:tblGrid>
        <w:gridCol w:w="1094"/>
        <w:gridCol w:w="1180"/>
        <w:gridCol w:w="1180"/>
        <w:gridCol w:w="1180"/>
        <w:gridCol w:w="1180"/>
        <w:gridCol w:w="1180"/>
        <w:gridCol w:w="1180"/>
        <w:gridCol w:w="1180"/>
        <w:gridCol w:w="1180"/>
      </w:tblGrid>
      <w:tr w:rsidR="009E08E4" w:rsidRPr="009E08E4" w14:paraId="44810382" w14:textId="77777777" w:rsidTr="008149A8">
        <w:trPr>
          <w:trHeight w:val="290"/>
        </w:trPr>
        <w:tc>
          <w:tcPr>
            <w:tcW w:w="1094" w:type="dxa"/>
            <w:tcBorders>
              <w:top w:val="single" w:sz="4" w:space="0" w:color="auto"/>
              <w:left w:val="nil"/>
              <w:bottom w:val="single" w:sz="4" w:space="0" w:color="auto"/>
              <w:right w:val="nil"/>
            </w:tcBorders>
            <w:shd w:val="clear" w:color="auto" w:fill="auto"/>
            <w:noWrap/>
            <w:vAlign w:val="bottom"/>
            <w:hideMark/>
          </w:tcPr>
          <w:p w14:paraId="005CD2EA" w14:textId="77777777" w:rsidR="009E08E4" w:rsidRPr="009E08E4" w:rsidRDefault="009E08E4" w:rsidP="009E08E4">
            <w:pPr>
              <w:spacing w:after="0" w:line="240" w:lineRule="auto"/>
              <w:rPr>
                <w:rFonts w:ascii="Times New Roman" w:eastAsia="Times New Roman" w:hAnsi="Times New Roman" w:cs="Times New Roman"/>
                <w:color w:val="000000"/>
                <w:sz w:val="20"/>
                <w:szCs w:val="20"/>
              </w:rPr>
            </w:pPr>
            <w:r w:rsidRPr="009E08E4">
              <w:rPr>
                <w:rFonts w:ascii="Times New Roman" w:eastAsia="Times New Roman" w:hAnsi="Times New Roman" w:cs="Times New Roman"/>
                <w:color w:val="000000"/>
                <w:sz w:val="20"/>
                <w:szCs w:val="20"/>
              </w:rPr>
              <w:t> </w:t>
            </w:r>
          </w:p>
        </w:tc>
        <w:tc>
          <w:tcPr>
            <w:tcW w:w="1180" w:type="dxa"/>
            <w:tcBorders>
              <w:top w:val="single" w:sz="4" w:space="0" w:color="auto"/>
              <w:left w:val="nil"/>
              <w:bottom w:val="single" w:sz="4" w:space="0" w:color="auto"/>
              <w:right w:val="nil"/>
            </w:tcBorders>
            <w:shd w:val="clear" w:color="auto" w:fill="auto"/>
            <w:noWrap/>
            <w:vAlign w:val="bottom"/>
            <w:hideMark/>
          </w:tcPr>
          <w:p w14:paraId="04140798" w14:textId="77777777" w:rsidR="009E08E4" w:rsidRPr="009E08E4" w:rsidRDefault="009E08E4" w:rsidP="009E08E4">
            <w:pPr>
              <w:spacing w:after="0" w:line="240" w:lineRule="auto"/>
              <w:jc w:val="center"/>
              <w:rPr>
                <w:rFonts w:ascii="Times New Roman" w:eastAsia="Times New Roman" w:hAnsi="Times New Roman" w:cs="Times New Roman"/>
                <w:color w:val="000000"/>
                <w:sz w:val="20"/>
                <w:szCs w:val="20"/>
              </w:rPr>
            </w:pPr>
            <w:r w:rsidRPr="009E08E4">
              <w:rPr>
                <w:rFonts w:ascii="Times New Roman" w:eastAsia="Times New Roman" w:hAnsi="Times New Roman" w:cs="Times New Roman"/>
                <w:color w:val="000000"/>
                <w:sz w:val="20"/>
                <w:szCs w:val="20"/>
              </w:rPr>
              <w:t>median</w:t>
            </w:r>
          </w:p>
        </w:tc>
        <w:tc>
          <w:tcPr>
            <w:tcW w:w="1180" w:type="dxa"/>
            <w:tcBorders>
              <w:top w:val="single" w:sz="4" w:space="0" w:color="auto"/>
              <w:left w:val="nil"/>
              <w:bottom w:val="single" w:sz="4" w:space="0" w:color="auto"/>
              <w:right w:val="nil"/>
            </w:tcBorders>
            <w:shd w:val="clear" w:color="auto" w:fill="auto"/>
            <w:noWrap/>
            <w:vAlign w:val="bottom"/>
            <w:hideMark/>
          </w:tcPr>
          <w:p w14:paraId="0F74089F" w14:textId="77777777" w:rsidR="009E08E4" w:rsidRPr="009E08E4" w:rsidRDefault="009E08E4" w:rsidP="009E08E4">
            <w:pPr>
              <w:spacing w:after="0" w:line="240" w:lineRule="auto"/>
              <w:jc w:val="center"/>
              <w:rPr>
                <w:rFonts w:ascii="Times New Roman" w:eastAsia="Times New Roman" w:hAnsi="Times New Roman" w:cs="Times New Roman"/>
                <w:color w:val="000000"/>
                <w:sz w:val="20"/>
                <w:szCs w:val="20"/>
              </w:rPr>
            </w:pPr>
            <w:r w:rsidRPr="009E08E4">
              <w:rPr>
                <w:rFonts w:ascii="Times New Roman" w:eastAsia="Times New Roman" w:hAnsi="Times New Roman" w:cs="Times New Roman"/>
                <w:color w:val="000000"/>
                <w:sz w:val="20"/>
                <w:szCs w:val="20"/>
              </w:rPr>
              <w:t>mean</w:t>
            </w:r>
          </w:p>
        </w:tc>
        <w:tc>
          <w:tcPr>
            <w:tcW w:w="1180" w:type="dxa"/>
            <w:tcBorders>
              <w:top w:val="single" w:sz="4" w:space="0" w:color="auto"/>
              <w:left w:val="nil"/>
              <w:bottom w:val="single" w:sz="4" w:space="0" w:color="auto"/>
              <w:right w:val="nil"/>
            </w:tcBorders>
            <w:shd w:val="clear" w:color="auto" w:fill="auto"/>
            <w:noWrap/>
            <w:vAlign w:val="bottom"/>
            <w:hideMark/>
          </w:tcPr>
          <w:p w14:paraId="717B78A9" w14:textId="77777777" w:rsidR="009E08E4" w:rsidRPr="009E08E4" w:rsidRDefault="009E08E4" w:rsidP="009E08E4">
            <w:pPr>
              <w:spacing w:after="0" w:line="240" w:lineRule="auto"/>
              <w:jc w:val="center"/>
              <w:rPr>
                <w:rFonts w:ascii="Times New Roman" w:eastAsia="Times New Roman" w:hAnsi="Times New Roman" w:cs="Times New Roman"/>
                <w:color w:val="000000"/>
                <w:sz w:val="20"/>
                <w:szCs w:val="20"/>
              </w:rPr>
            </w:pPr>
            <w:proofErr w:type="spellStart"/>
            <w:r w:rsidRPr="009E08E4">
              <w:rPr>
                <w:rFonts w:ascii="Times New Roman" w:eastAsia="Times New Roman" w:hAnsi="Times New Roman" w:cs="Times New Roman"/>
                <w:color w:val="000000"/>
                <w:sz w:val="20"/>
                <w:szCs w:val="20"/>
              </w:rPr>
              <w:t>std.dev</w:t>
            </w:r>
            <w:proofErr w:type="spellEnd"/>
          </w:p>
        </w:tc>
        <w:tc>
          <w:tcPr>
            <w:tcW w:w="1180" w:type="dxa"/>
            <w:tcBorders>
              <w:top w:val="single" w:sz="4" w:space="0" w:color="auto"/>
              <w:left w:val="nil"/>
              <w:bottom w:val="single" w:sz="4" w:space="0" w:color="auto"/>
              <w:right w:val="nil"/>
            </w:tcBorders>
            <w:shd w:val="clear" w:color="auto" w:fill="auto"/>
            <w:noWrap/>
            <w:vAlign w:val="bottom"/>
            <w:hideMark/>
          </w:tcPr>
          <w:p w14:paraId="28D0EE8F" w14:textId="77777777" w:rsidR="009E08E4" w:rsidRPr="009E08E4" w:rsidRDefault="009E08E4" w:rsidP="009E08E4">
            <w:pPr>
              <w:spacing w:after="0" w:line="240" w:lineRule="auto"/>
              <w:jc w:val="center"/>
              <w:rPr>
                <w:rFonts w:ascii="Times New Roman" w:eastAsia="Times New Roman" w:hAnsi="Times New Roman" w:cs="Times New Roman"/>
                <w:color w:val="000000"/>
                <w:sz w:val="20"/>
                <w:szCs w:val="20"/>
              </w:rPr>
            </w:pPr>
            <w:proofErr w:type="spellStart"/>
            <w:r w:rsidRPr="009E08E4">
              <w:rPr>
                <w:rFonts w:ascii="Times New Roman" w:eastAsia="Times New Roman" w:hAnsi="Times New Roman" w:cs="Times New Roman"/>
                <w:color w:val="000000"/>
                <w:sz w:val="20"/>
                <w:szCs w:val="20"/>
              </w:rPr>
              <w:t>coef.var</w:t>
            </w:r>
            <w:proofErr w:type="spellEnd"/>
          </w:p>
        </w:tc>
        <w:tc>
          <w:tcPr>
            <w:tcW w:w="1180" w:type="dxa"/>
            <w:tcBorders>
              <w:top w:val="single" w:sz="4" w:space="0" w:color="auto"/>
              <w:left w:val="nil"/>
              <w:bottom w:val="single" w:sz="4" w:space="0" w:color="auto"/>
              <w:right w:val="nil"/>
            </w:tcBorders>
            <w:shd w:val="clear" w:color="auto" w:fill="auto"/>
            <w:noWrap/>
            <w:vAlign w:val="bottom"/>
            <w:hideMark/>
          </w:tcPr>
          <w:p w14:paraId="725CA941" w14:textId="77777777" w:rsidR="009E08E4" w:rsidRPr="009E08E4" w:rsidRDefault="009E08E4" w:rsidP="009E08E4">
            <w:pPr>
              <w:spacing w:after="0" w:line="240" w:lineRule="auto"/>
              <w:jc w:val="center"/>
              <w:rPr>
                <w:rFonts w:ascii="Times New Roman" w:eastAsia="Times New Roman" w:hAnsi="Times New Roman" w:cs="Times New Roman"/>
                <w:color w:val="000000"/>
                <w:sz w:val="20"/>
                <w:szCs w:val="20"/>
              </w:rPr>
            </w:pPr>
            <w:r w:rsidRPr="009E08E4">
              <w:rPr>
                <w:rFonts w:ascii="Times New Roman" w:eastAsia="Times New Roman" w:hAnsi="Times New Roman" w:cs="Times New Roman"/>
                <w:color w:val="000000"/>
                <w:sz w:val="20"/>
                <w:szCs w:val="20"/>
              </w:rPr>
              <w:t>skewness</w:t>
            </w:r>
          </w:p>
        </w:tc>
        <w:tc>
          <w:tcPr>
            <w:tcW w:w="1180" w:type="dxa"/>
            <w:tcBorders>
              <w:top w:val="single" w:sz="4" w:space="0" w:color="auto"/>
              <w:left w:val="nil"/>
              <w:bottom w:val="single" w:sz="4" w:space="0" w:color="auto"/>
              <w:right w:val="nil"/>
            </w:tcBorders>
            <w:shd w:val="clear" w:color="auto" w:fill="auto"/>
            <w:noWrap/>
            <w:vAlign w:val="bottom"/>
            <w:hideMark/>
          </w:tcPr>
          <w:p w14:paraId="67D6237D" w14:textId="77777777" w:rsidR="009E08E4" w:rsidRPr="009E08E4" w:rsidRDefault="009E08E4" w:rsidP="009E08E4">
            <w:pPr>
              <w:spacing w:after="0" w:line="240" w:lineRule="auto"/>
              <w:jc w:val="center"/>
              <w:rPr>
                <w:rFonts w:ascii="Times New Roman" w:eastAsia="Times New Roman" w:hAnsi="Times New Roman" w:cs="Times New Roman"/>
                <w:color w:val="000000"/>
                <w:sz w:val="20"/>
                <w:szCs w:val="20"/>
              </w:rPr>
            </w:pPr>
            <w:r w:rsidRPr="009E08E4">
              <w:rPr>
                <w:rFonts w:ascii="Times New Roman" w:eastAsia="Times New Roman" w:hAnsi="Times New Roman" w:cs="Times New Roman"/>
                <w:color w:val="000000"/>
                <w:sz w:val="20"/>
                <w:szCs w:val="20"/>
              </w:rPr>
              <w:t>kurtosis</w:t>
            </w:r>
          </w:p>
        </w:tc>
        <w:tc>
          <w:tcPr>
            <w:tcW w:w="1180" w:type="dxa"/>
            <w:tcBorders>
              <w:top w:val="single" w:sz="4" w:space="0" w:color="auto"/>
              <w:left w:val="nil"/>
              <w:bottom w:val="single" w:sz="4" w:space="0" w:color="auto"/>
              <w:right w:val="nil"/>
            </w:tcBorders>
            <w:shd w:val="clear" w:color="auto" w:fill="auto"/>
            <w:noWrap/>
            <w:vAlign w:val="bottom"/>
            <w:hideMark/>
          </w:tcPr>
          <w:p w14:paraId="1D1C5C70" w14:textId="77777777" w:rsidR="009E08E4" w:rsidRPr="009E08E4" w:rsidRDefault="009E08E4" w:rsidP="009E08E4">
            <w:pPr>
              <w:spacing w:after="0" w:line="240" w:lineRule="auto"/>
              <w:jc w:val="center"/>
              <w:rPr>
                <w:rFonts w:ascii="Times New Roman" w:eastAsia="Times New Roman" w:hAnsi="Times New Roman" w:cs="Times New Roman"/>
                <w:color w:val="000000"/>
                <w:sz w:val="20"/>
                <w:szCs w:val="20"/>
              </w:rPr>
            </w:pPr>
            <w:proofErr w:type="spellStart"/>
            <w:proofErr w:type="gramStart"/>
            <w:r w:rsidRPr="009E08E4">
              <w:rPr>
                <w:rFonts w:ascii="Times New Roman" w:eastAsia="Times New Roman" w:hAnsi="Times New Roman" w:cs="Times New Roman"/>
                <w:color w:val="000000"/>
                <w:sz w:val="20"/>
                <w:szCs w:val="20"/>
              </w:rPr>
              <w:t>normtest.W</w:t>
            </w:r>
            <w:proofErr w:type="spellEnd"/>
            <w:proofErr w:type="gramEnd"/>
          </w:p>
        </w:tc>
        <w:tc>
          <w:tcPr>
            <w:tcW w:w="1180" w:type="dxa"/>
            <w:tcBorders>
              <w:top w:val="single" w:sz="4" w:space="0" w:color="auto"/>
              <w:left w:val="nil"/>
              <w:bottom w:val="single" w:sz="4" w:space="0" w:color="auto"/>
              <w:right w:val="nil"/>
            </w:tcBorders>
            <w:shd w:val="clear" w:color="auto" w:fill="auto"/>
            <w:noWrap/>
            <w:vAlign w:val="bottom"/>
            <w:hideMark/>
          </w:tcPr>
          <w:p w14:paraId="6412E8FC" w14:textId="77777777" w:rsidR="009E08E4" w:rsidRPr="009E08E4" w:rsidRDefault="009E08E4" w:rsidP="009E08E4">
            <w:pPr>
              <w:spacing w:after="0" w:line="240" w:lineRule="auto"/>
              <w:jc w:val="center"/>
              <w:rPr>
                <w:rFonts w:ascii="Times New Roman" w:eastAsia="Times New Roman" w:hAnsi="Times New Roman" w:cs="Times New Roman"/>
                <w:color w:val="000000"/>
                <w:sz w:val="20"/>
                <w:szCs w:val="20"/>
              </w:rPr>
            </w:pPr>
            <w:proofErr w:type="spellStart"/>
            <w:proofErr w:type="gramStart"/>
            <w:r w:rsidRPr="009E08E4">
              <w:rPr>
                <w:rFonts w:ascii="Times New Roman" w:eastAsia="Times New Roman" w:hAnsi="Times New Roman" w:cs="Times New Roman"/>
                <w:color w:val="000000"/>
                <w:sz w:val="20"/>
                <w:szCs w:val="20"/>
              </w:rPr>
              <w:t>normtest.p</w:t>
            </w:r>
            <w:proofErr w:type="spellEnd"/>
            <w:proofErr w:type="gramEnd"/>
          </w:p>
        </w:tc>
      </w:tr>
      <w:tr w:rsidR="008149A8" w:rsidRPr="009E08E4" w14:paraId="3234F1B2" w14:textId="77777777" w:rsidTr="008149A8">
        <w:trPr>
          <w:trHeight w:val="290"/>
        </w:trPr>
        <w:tc>
          <w:tcPr>
            <w:tcW w:w="1094" w:type="dxa"/>
            <w:tcBorders>
              <w:top w:val="nil"/>
              <w:left w:val="nil"/>
              <w:bottom w:val="nil"/>
              <w:right w:val="nil"/>
            </w:tcBorders>
            <w:shd w:val="clear" w:color="auto" w:fill="auto"/>
            <w:noWrap/>
            <w:vAlign w:val="bottom"/>
            <w:hideMark/>
          </w:tcPr>
          <w:p w14:paraId="247064A6" w14:textId="77777777" w:rsidR="008149A8" w:rsidRPr="009E08E4" w:rsidRDefault="008149A8" w:rsidP="008149A8">
            <w:pPr>
              <w:spacing w:after="0" w:line="240" w:lineRule="auto"/>
              <w:rPr>
                <w:rFonts w:ascii="Times New Roman" w:eastAsia="Times New Roman" w:hAnsi="Times New Roman" w:cs="Times New Roman"/>
                <w:color w:val="000000"/>
                <w:sz w:val="20"/>
                <w:szCs w:val="20"/>
              </w:rPr>
            </w:pPr>
            <w:r w:rsidRPr="009E08E4">
              <w:rPr>
                <w:rFonts w:ascii="Times New Roman" w:eastAsia="Times New Roman" w:hAnsi="Times New Roman" w:cs="Times New Roman"/>
                <w:color w:val="000000"/>
                <w:sz w:val="20"/>
                <w:szCs w:val="20"/>
              </w:rPr>
              <w:t>PBW</w:t>
            </w:r>
          </w:p>
        </w:tc>
        <w:tc>
          <w:tcPr>
            <w:tcW w:w="1180" w:type="dxa"/>
            <w:tcBorders>
              <w:top w:val="nil"/>
              <w:left w:val="nil"/>
              <w:bottom w:val="nil"/>
              <w:right w:val="nil"/>
            </w:tcBorders>
            <w:shd w:val="clear" w:color="auto" w:fill="auto"/>
            <w:noWrap/>
            <w:vAlign w:val="bottom"/>
            <w:hideMark/>
          </w:tcPr>
          <w:p w14:paraId="06D206A8" w14:textId="1B10139D"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0.085</w:t>
            </w:r>
          </w:p>
        </w:tc>
        <w:tc>
          <w:tcPr>
            <w:tcW w:w="1180" w:type="dxa"/>
            <w:tcBorders>
              <w:top w:val="nil"/>
              <w:left w:val="nil"/>
              <w:bottom w:val="nil"/>
              <w:right w:val="nil"/>
            </w:tcBorders>
            <w:shd w:val="clear" w:color="auto" w:fill="auto"/>
            <w:noWrap/>
            <w:vAlign w:val="bottom"/>
            <w:hideMark/>
          </w:tcPr>
          <w:p w14:paraId="4256000C" w14:textId="266B23A5"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-0.015</w:t>
            </w:r>
          </w:p>
        </w:tc>
        <w:tc>
          <w:tcPr>
            <w:tcW w:w="1180" w:type="dxa"/>
            <w:tcBorders>
              <w:top w:val="nil"/>
              <w:left w:val="nil"/>
              <w:bottom w:val="nil"/>
              <w:right w:val="nil"/>
            </w:tcBorders>
            <w:shd w:val="clear" w:color="auto" w:fill="auto"/>
            <w:noWrap/>
            <w:vAlign w:val="bottom"/>
            <w:hideMark/>
          </w:tcPr>
          <w:p w14:paraId="784C9BDB" w14:textId="6B2E511C"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2.351</w:t>
            </w:r>
          </w:p>
        </w:tc>
        <w:tc>
          <w:tcPr>
            <w:tcW w:w="1180" w:type="dxa"/>
            <w:tcBorders>
              <w:top w:val="nil"/>
              <w:left w:val="nil"/>
              <w:bottom w:val="nil"/>
              <w:right w:val="nil"/>
            </w:tcBorders>
            <w:shd w:val="clear" w:color="auto" w:fill="auto"/>
            <w:noWrap/>
            <w:vAlign w:val="bottom"/>
            <w:hideMark/>
          </w:tcPr>
          <w:p w14:paraId="2E04160C" w14:textId="45BD39F3"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-161.482</w:t>
            </w:r>
          </w:p>
        </w:tc>
        <w:tc>
          <w:tcPr>
            <w:tcW w:w="1180" w:type="dxa"/>
            <w:tcBorders>
              <w:top w:val="nil"/>
              <w:left w:val="nil"/>
              <w:bottom w:val="nil"/>
              <w:right w:val="nil"/>
            </w:tcBorders>
            <w:shd w:val="clear" w:color="auto" w:fill="auto"/>
            <w:noWrap/>
            <w:vAlign w:val="bottom"/>
            <w:hideMark/>
          </w:tcPr>
          <w:p w14:paraId="6DCE9D01" w14:textId="4850FE96"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-0.411</w:t>
            </w:r>
          </w:p>
        </w:tc>
        <w:tc>
          <w:tcPr>
            <w:tcW w:w="1180" w:type="dxa"/>
            <w:tcBorders>
              <w:top w:val="nil"/>
              <w:left w:val="nil"/>
              <w:bottom w:val="nil"/>
              <w:right w:val="nil"/>
            </w:tcBorders>
            <w:shd w:val="clear" w:color="auto" w:fill="auto"/>
            <w:noWrap/>
            <w:vAlign w:val="bottom"/>
            <w:hideMark/>
          </w:tcPr>
          <w:p w14:paraId="2A6A169E" w14:textId="4B987423"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5.278</w:t>
            </w:r>
          </w:p>
        </w:tc>
        <w:tc>
          <w:tcPr>
            <w:tcW w:w="1180" w:type="dxa"/>
            <w:tcBorders>
              <w:top w:val="nil"/>
              <w:left w:val="nil"/>
              <w:bottom w:val="nil"/>
              <w:right w:val="nil"/>
            </w:tcBorders>
            <w:shd w:val="clear" w:color="auto" w:fill="auto"/>
            <w:noWrap/>
            <w:vAlign w:val="bottom"/>
            <w:hideMark/>
          </w:tcPr>
          <w:p w14:paraId="42F26A90" w14:textId="12BEBABB"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0.936</w:t>
            </w:r>
          </w:p>
        </w:tc>
        <w:tc>
          <w:tcPr>
            <w:tcW w:w="1180" w:type="dxa"/>
            <w:tcBorders>
              <w:top w:val="nil"/>
              <w:left w:val="nil"/>
              <w:bottom w:val="nil"/>
              <w:right w:val="nil"/>
            </w:tcBorders>
            <w:shd w:val="clear" w:color="auto" w:fill="auto"/>
            <w:noWrap/>
            <w:vAlign w:val="bottom"/>
            <w:hideMark/>
          </w:tcPr>
          <w:p w14:paraId="68EEF4DF" w14:textId="506758B7"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0.000</w:t>
            </w:r>
          </w:p>
        </w:tc>
      </w:tr>
      <w:tr w:rsidR="008149A8" w:rsidRPr="009E08E4" w14:paraId="330594C2" w14:textId="77777777" w:rsidTr="008149A8">
        <w:trPr>
          <w:trHeight w:val="290"/>
        </w:trPr>
        <w:tc>
          <w:tcPr>
            <w:tcW w:w="1094" w:type="dxa"/>
            <w:tcBorders>
              <w:top w:val="nil"/>
              <w:left w:val="nil"/>
              <w:bottom w:val="nil"/>
              <w:right w:val="nil"/>
            </w:tcBorders>
            <w:shd w:val="clear" w:color="auto" w:fill="auto"/>
            <w:noWrap/>
            <w:vAlign w:val="bottom"/>
            <w:hideMark/>
          </w:tcPr>
          <w:p w14:paraId="3428F59C" w14:textId="77777777" w:rsidR="008149A8" w:rsidRPr="009E08E4" w:rsidRDefault="008149A8" w:rsidP="008149A8">
            <w:pPr>
              <w:spacing w:after="0" w:line="240" w:lineRule="auto"/>
              <w:rPr>
                <w:rFonts w:ascii="Times New Roman" w:eastAsia="Times New Roman" w:hAnsi="Times New Roman" w:cs="Times New Roman"/>
                <w:color w:val="000000"/>
                <w:sz w:val="20"/>
                <w:szCs w:val="20"/>
              </w:rPr>
            </w:pPr>
            <w:r w:rsidRPr="009E08E4">
              <w:rPr>
                <w:rFonts w:ascii="Times New Roman" w:eastAsia="Times New Roman" w:hAnsi="Times New Roman" w:cs="Times New Roman"/>
                <w:color w:val="000000"/>
                <w:sz w:val="20"/>
                <w:szCs w:val="20"/>
              </w:rPr>
              <w:t>ICLN</w:t>
            </w:r>
          </w:p>
        </w:tc>
        <w:tc>
          <w:tcPr>
            <w:tcW w:w="1180" w:type="dxa"/>
            <w:tcBorders>
              <w:top w:val="nil"/>
              <w:left w:val="nil"/>
              <w:bottom w:val="nil"/>
              <w:right w:val="nil"/>
            </w:tcBorders>
            <w:shd w:val="clear" w:color="auto" w:fill="auto"/>
            <w:noWrap/>
            <w:vAlign w:val="bottom"/>
            <w:hideMark/>
          </w:tcPr>
          <w:p w14:paraId="22632123" w14:textId="077CEA00"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0.000</w:t>
            </w:r>
          </w:p>
        </w:tc>
        <w:tc>
          <w:tcPr>
            <w:tcW w:w="1180" w:type="dxa"/>
            <w:tcBorders>
              <w:top w:val="nil"/>
              <w:left w:val="nil"/>
              <w:bottom w:val="nil"/>
              <w:right w:val="nil"/>
            </w:tcBorders>
            <w:shd w:val="clear" w:color="auto" w:fill="auto"/>
            <w:noWrap/>
            <w:vAlign w:val="bottom"/>
            <w:hideMark/>
          </w:tcPr>
          <w:p w14:paraId="4FFB0FC9" w14:textId="0196D5D3"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-0.018</w:t>
            </w:r>
          </w:p>
        </w:tc>
        <w:tc>
          <w:tcPr>
            <w:tcW w:w="1180" w:type="dxa"/>
            <w:tcBorders>
              <w:top w:val="nil"/>
              <w:left w:val="nil"/>
              <w:bottom w:val="nil"/>
              <w:right w:val="nil"/>
            </w:tcBorders>
            <w:shd w:val="clear" w:color="auto" w:fill="auto"/>
            <w:noWrap/>
            <w:vAlign w:val="bottom"/>
            <w:hideMark/>
          </w:tcPr>
          <w:p w14:paraId="6D996437" w14:textId="123F9F19"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2.159</w:t>
            </w:r>
          </w:p>
        </w:tc>
        <w:tc>
          <w:tcPr>
            <w:tcW w:w="1180" w:type="dxa"/>
            <w:tcBorders>
              <w:top w:val="nil"/>
              <w:left w:val="nil"/>
              <w:bottom w:val="nil"/>
              <w:right w:val="nil"/>
            </w:tcBorders>
            <w:shd w:val="clear" w:color="auto" w:fill="auto"/>
            <w:noWrap/>
            <w:vAlign w:val="bottom"/>
            <w:hideMark/>
          </w:tcPr>
          <w:p w14:paraId="30A675C9" w14:textId="4FDE3F5B"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-120.305</w:t>
            </w:r>
          </w:p>
        </w:tc>
        <w:tc>
          <w:tcPr>
            <w:tcW w:w="1180" w:type="dxa"/>
            <w:tcBorders>
              <w:top w:val="nil"/>
              <w:left w:val="nil"/>
              <w:bottom w:val="nil"/>
              <w:right w:val="nil"/>
            </w:tcBorders>
            <w:shd w:val="clear" w:color="auto" w:fill="auto"/>
            <w:noWrap/>
            <w:vAlign w:val="bottom"/>
            <w:hideMark/>
          </w:tcPr>
          <w:p w14:paraId="7D0177C2" w14:textId="2E11D280"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-0.619</w:t>
            </w:r>
          </w:p>
        </w:tc>
        <w:tc>
          <w:tcPr>
            <w:tcW w:w="1180" w:type="dxa"/>
            <w:tcBorders>
              <w:top w:val="nil"/>
              <w:left w:val="nil"/>
              <w:bottom w:val="nil"/>
              <w:right w:val="nil"/>
            </w:tcBorders>
            <w:shd w:val="clear" w:color="auto" w:fill="auto"/>
            <w:noWrap/>
            <w:vAlign w:val="bottom"/>
            <w:hideMark/>
          </w:tcPr>
          <w:p w14:paraId="3C5C4237" w14:textId="38C6A759"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10.580</w:t>
            </w:r>
          </w:p>
        </w:tc>
        <w:tc>
          <w:tcPr>
            <w:tcW w:w="1180" w:type="dxa"/>
            <w:tcBorders>
              <w:top w:val="nil"/>
              <w:left w:val="nil"/>
              <w:bottom w:val="nil"/>
              <w:right w:val="nil"/>
            </w:tcBorders>
            <w:shd w:val="clear" w:color="auto" w:fill="auto"/>
            <w:noWrap/>
            <w:vAlign w:val="bottom"/>
            <w:hideMark/>
          </w:tcPr>
          <w:p w14:paraId="3A6511D2" w14:textId="2B518BCC"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0.878</w:t>
            </w:r>
          </w:p>
        </w:tc>
        <w:tc>
          <w:tcPr>
            <w:tcW w:w="1180" w:type="dxa"/>
            <w:tcBorders>
              <w:top w:val="nil"/>
              <w:left w:val="nil"/>
              <w:bottom w:val="nil"/>
              <w:right w:val="nil"/>
            </w:tcBorders>
            <w:shd w:val="clear" w:color="auto" w:fill="auto"/>
            <w:noWrap/>
            <w:vAlign w:val="bottom"/>
            <w:hideMark/>
          </w:tcPr>
          <w:p w14:paraId="526976F6" w14:textId="56D78573"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0.000</w:t>
            </w:r>
          </w:p>
        </w:tc>
      </w:tr>
      <w:tr w:rsidR="008149A8" w:rsidRPr="009E08E4" w14:paraId="70E26375" w14:textId="77777777" w:rsidTr="008149A8">
        <w:trPr>
          <w:trHeight w:val="290"/>
        </w:trPr>
        <w:tc>
          <w:tcPr>
            <w:tcW w:w="1094" w:type="dxa"/>
            <w:tcBorders>
              <w:top w:val="nil"/>
              <w:left w:val="nil"/>
              <w:bottom w:val="nil"/>
              <w:right w:val="nil"/>
            </w:tcBorders>
            <w:shd w:val="clear" w:color="auto" w:fill="auto"/>
            <w:noWrap/>
            <w:vAlign w:val="bottom"/>
            <w:hideMark/>
          </w:tcPr>
          <w:p w14:paraId="7828A4B3" w14:textId="77777777" w:rsidR="008149A8" w:rsidRPr="009E08E4" w:rsidRDefault="008149A8" w:rsidP="008149A8">
            <w:pPr>
              <w:spacing w:after="0" w:line="240" w:lineRule="auto"/>
              <w:rPr>
                <w:rFonts w:ascii="Times New Roman" w:eastAsia="Times New Roman" w:hAnsi="Times New Roman" w:cs="Times New Roman"/>
                <w:color w:val="000000"/>
                <w:sz w:val="20"/>
                <w:szCs w:val="20"/>
              </w:rPr>
            </w:pPr>
            <w:r w:rsidRPr="009E08E4">
              <w:rPr>
                <w:rFonts w:ascii="Times New Roman" w:eastAsia="Times New Roman" w:hAnsi="Times New Roman" w:cs="Times New Roman"/>
                <w:color w:val="000000"/>
                <w:sz w:val="20"/>
                <w:szCs w:val="20"/>
              </w:rPr>
              <w:t>QCLN</w:t>
            </w:r>
          </w:p>
        </w:tc>
        <w:tc>
          <w:tcPr>
            <w:tcW w:w="1180" w:type="dxa"/>
            <w:tcBorders>
              <w:top w:val="nil"/>
              <w:left w:val="nil"/>
              <w:bottom w:val="nil"/>
              <w:right w:val="nil"/>
            </w:tcBorders>
            <w:shd w:val="clear" w:color="auto" w:fill="auto"/>
            <w:noWrap/>
            <w:vAlign w:val="bottom"/>
            <w:hideMark/>
          </w:tcPr>
          <w:p w14:paraId="4A435925" w14:textId="74DA7E95"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0.135</w:t>
            </w:r>
          </w:p>
        </w:tc>
        <w:tc>
          <w:tcPr>
            <w:tcW w:w="1180" w:type="dxa"/>
            <w:tcBorders>
              <w:top w:val="nil"/>
              <w:left w:val="nil"/>
              <w:bottom w:val="nil"/>
              <w:right w:val="nil"/>
            </w:tcBorders>
            <w:shd w:val="clear" w:color="auto" w:fill="auto"/>
            <w:noWrap/>
            <w:vAlign w:val="bottom"/>
            <w:hideMark/>
          </w:tcPr>
          <w:p w14:paraId="14BFAC7F" w14:textId="45BAC379"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0.024</w:t>
            </w:r>
          </w:p>
        </w:tc>
        <w:tc>
          <w:tcPr>
            <w:tcW w:w="1180" w:type="dxa"/>
            <w:tcBorders>
              <w:top w:val="nil"/>
              <w:left w:val="nil"/>
              <w:bottom w:val="nil"/>
              <w:right w:val="nil"/>
            </w:tcBorders>
            <w:shd w:val="clear" w:color="auto" w:fill="auto"/>
            <w:noWrap/>
            <w:vAlign w:val="bottom"/>
            <w:hideMark/>
          </w:tcPr>
          <w:p w14:paraId="184945A0" w14:textId="2A9C8C90"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2.218</w:t>
            </w:r>
          </w:p>
        </w:tc>
        <w:tc>
          <w:tcPr>
            <w:tcW w:w="1180" w:type="dxa"/>
            <w:tcBorders>
              <w:top w:val="nil"/>
              <w:left w:val="nil"/>
              <w:bottom w:val="nil"/>
              <w:right w:val="nil"/>
            </w:tcBorders>
            <w:shd w:val="clear" w:color="auto" w:fill="auto"/>
            <w:noWrap/>
            <w:vAlign w:val="bottom"/>
            <w:hideMark/>
          </w:tcPr>
          <w:p w14:paraId="4E00DB86" w14:textId="0C9F2954"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92.522</w:t>
            </w:r>
          </w:p>
        </w:tc>
        <w:tc>
          <w:tcPr>
            <w:tcW w:w="1180" w:type="dxa"/>
            <w:tcBorders>
              <w:top w:val="nil"/>
              <w:left w:val="nil"/>
              <w:bottom w:val="nil"/>
              <w:right w:val="nil"/>
            </w:tcBorders>
            <w:shd w:val="clear" w:color="auto" w:fill="auto"/>
            <w:noWrap/>
            <w:vAlign w:val="bottom"/>
            <w:hideMark/>
          </w:tcPr>
          <w:p w14:paraId="11F279B3" w14:textId="3837B822"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-0.432</w:t>
            </w:r>
          </w:p>
        </w:tc>
        <w:tc>
          <w:tcPr>
            <w:tcW w:w="1180" w:type="dxa"/>
            <w:tcBorders>
              <w:top w:val="nil"/>
              <w:left w:val="nil"/>
              <w:bottom w:val="nil"/>
              <w:right w:val="nil"/>
            </w:tcBorders>
            <w:shd w:val="clear" w:color="auto" w:fill="auto"/>
            <w:noWrap/>
            <w:vAlign w:val="bottom"/>
            <w:hideMark/>
          </w:tcPr>
          <w:p w14:paraId="1E338F96" w14:textId="2698A872"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5.431</w:t>
            </w:r>
          </w:p>
        </w:tc>
        <w:tc>
          <w:tcPr>
            <w:tcW w:w="1180" w:type="dxa"/>
            <w:tcBorders>
              <w:top w:val="nil"/>
              <w:left w:val="nil"/>
              <w:bottom w:val="nil"/>
              <w:right w:val="nil"/>
            </w:tcBorders>
            <w:shd w:val="clear" w:color="auto" w:fill="auto"/>
            <w:noWrap/>
            <w:vAlign w:val="bottom"/>
            <w:hideMark/>
          </w:tcPr>
          <w:p w14:paraId="3B1832E0" w14:textId="3ADF4923"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0.937</w:t>
            </w:r>
          </w:p>
        </w:tc>
        <w:tc>
          <w:tcPr>
            <w:tcW w:w="1180" w:type="dxa"/>
            <w:tcBorders>
              <w:top w:val="nil"/>
              <w:left w:val="nil"/>
              <w:bottom w:val="nil"/>
              <w:right w:val="nil"/>
            </w:tcBorders>
            <w:shd w:val="clear" w:color="auto" w:fill="auto"/>
            <w:noWrap/>
            <w:vAlign w:val="bottom"/>
            <w:hideMark/>
          </w:tcPr>
          <w:p w14:paraId="2A649CDC" w14:textId="2A999554"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0.000</w:t>
            </w:r>
          </w:p>
        </w:tc>
      </w:tr>
      <w:tr w:rsidR="008149A8" w:rsidRPr="009E08E4" w14:paraId="13F8E57B" w14:textId="77777777" w:rsidTr="008149A8">
        <w:trPr>
          <w:trHeight w:val="290"/>
        </w:trPr>
        <w:tc>
          <w:tcPr>
            <w:tcW w:w="1094" w:type="dxa"/>
            <w:tcBorders>
              <w:top w:val="nil"/>
              <w:left w:val="nil"/>
              <w:bottom w:val="nil"/>
              <w:right w:val="nil"/>
            </w:tcBorders>
            <w:shd w:val="clear" w:color="auto" w:fill="auto"/>
            <w:noWrap/>
            <w:vAlign w:val="bottom"/>
            <w:hideMark/>
          </w:tcPr>
          <w:p w14:paraId="380E80E8" w14:textId="77777777" w:rsidR="008149A8" w:rsidRPr="009E08E4" w:rsidRDefault="008149A8" w:rsidP="008149A8">
            <w:pPr>
              <w:spacing w:after="0" w:line="240" w:lineRule="auto"/>
              <w:rPr>
                <w:rFonts w:ascii="Times New Roman" w:eastAsia="Times New Roman" w:hAnsi="Times New Roman" w:cs="Times New Roman"/>
                <w:color w:val="000000"/>
                <w:sz w:val="20"/>
                <w:szCs w:val="20"/>
              </w:rPr>
            </w:pPr>
            <w:r w:rsidRPr="009E08E4">
              <w:rPr>
                <w:rFonts w:ascii="Times New Roman" w:eastAsia="Times New Roman" w:hAnsi="Times New Roman" w:cs="Times New Roman"/>
                <w:color w:val="000000"/>
                <w:sz w:val="20"/>
                <w:szCs w:val="20"/>
              </w:rPr>
              <w:t>VIX</w:t>
            </w:r>
          </w:p>
        </w:tc>
        <w:tc>
          <w:tcPr>
            <w:tcW w:w="1180" w:type="dxa"/>
            <w:tcBorders>
              <w:top w:val="nil"/>
              <w:left w:val="nil"/>
              <w:bottom w:val="nil"/>
              <w:right w:val="nil"/>
            </w:tcBorders>
            <w:shd w:val="clear" w:color="auto" w:fill="auto"/>
            <w:noWrap/>
            <w:vAlign w:val="bottom"/>
            <w:hideMark/>
          </w:tcPr>
          <w:p w14:paraId="1F74126F" w14:textId="363993A7"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17.355</w:t>
            </w:r>
          </w:p>
        </w:tc>
        <w:tc>
          <w:tcPr>
            <w:tcW w:w="1180" w:type="dxa"/>
            <w:tcBorders>
              <w:top w:val="nil"/>
              <w:left w:val="nil"/>
              <w:bottom w:val="nil"/>
              <w:right w:val="nil"/>
            </w:tcBorders>
            <w:shd w:val="clear" w:color="auto" w:fill="auto"/>
            <w:noWrap/>
            <w:vAlign w:val="bottom"/>
            <w:hideMark/>
          </w:tcPr>
          <w:p w14:paraId="42F3F11C" w14:textId="55B93C1C"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20.234</w:t>
            </w:r>
          </w:p>
        </w:tc>
        <w:tc>
          <w:tcPr>
            <w:tcW w:w="1180" w:type="dxa"/>
            <w:tcBorders>
              <w:top w:val="nil"/>
              <w:left w:val="nil"/>
              <w:bottom w:val="nil"/>
              <w:right w:val="nil"/>
            </w:tcBorders>
            <w:shd w:val="clear" w:color="auto" w:fill="auto"/>
            <w:noWrap/>
            <w:vAlign w:val="bottom"/>
            <w:hideMark/>
          </w:tcPr>
          <w:p w14:paraId="23758F46" w14:textId="4C24785D"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9.747</w:t>
            </w:r>
          </w:p>
        </w:tc>
        <w:tc>
          <w:tcPr>
            <w:tcW w:w="1180" w:type="dxa"/>
            <w:tcBorders>
              <w:top w:val="nil"/>
              <w:left w:val="nil"/>
              <w:bottom w:val="nil"/>
              <w:right w:val="nil"/>
            </w:tcBorders>
            <w:shd w:val="clear" w:color="auto" w:fill="auto"/>
            <w:noWrap/>
            <w:vAlign w:val="bottom"/>
            <w:hideMark/>
          </w:tcPr>
          <w:p w14:paraId="70062A92" w14:textId="2CDE728E"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0.482</w:t>
            </w:r>
          </w:p>
        </w:tc>
        <w:tc>
          <w:tcPr>
            <w:tcW w:w="1180" w:type="dxa"/>
            <w:tcBorders>
              <w:top w:val="nil"/>
              <w:left w:val="nil"/>
              <w:bottom w:val="nil"/>
              <w:right w:val="nil"/>
            </w:tcBorders>
            <w:shd w:val="clear" w:color="auto" w:fill="auto"/>
            <w:noWrap/>
            <w:vAlign w:val="bottom"/>
            <w:hideMark/>
          </w:tcPr>
          <w:p w14:paraId="379C2172" w14:textId="076C069B"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2.333</w:t>
            </w:r>
          </w:p>
        </w:tc>
        <w:tc>
          <w:tcPr>
            <w:tcW w:w="1180" w:type="dxa"/>
            <w:tcBorders>
              <w:top w:val="nil"/>
              <w:left w:val="nil"/>
              <w:bottom w:val="nil"/>
              <w:right w:val="nil"/>
            </w:tcBorders>
            <w:shd w:val="clear" w:color="auto" w:fill="auto"/>
            <w:noWrap/>
            <w:vAlign w:val="bottom"/>
            <w:hideMark/>
          </w:tcPr>
          <w:p w14:paraId="7BBBD65F" w14:textId="59BECA09"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7.431</w:t>
            </w:r>
          </w:p>
        </w:tc>
        <w:tc>
          <w:tcPr>
            <w:tcW w:w="1180" w:type="dxa"/>
            <w:tcBorders>
              <w:top w:val="nil"/>
              <w:left w:val="nil"/>
              <w:bottom w:val="nil"/>
              <w:right w:val="nil"/>
            </w:tcBorders>
            <w:shd w:val="clear" w:color="auto" w:fill="auto"/>
            <w:noWrap/>
            <w:vAlign w:val="bottom"/>
            <w:hideMark/>
          </w:tcPr>
          <w:p w14:paraId="701BF10C" w14:textId="1612BE4F"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0.783</w:t>
            </w:r>
          </w:p>
        </w:tc>
        <w:tc>
          <w:tcPr>
            <w:tcW w:w="1180" w:type="dxa"/>
            <w:tcBorders>
              <w:top w:val="nil"/>
              <w:left w:val="nil"/>
              <w:bottom w:val="nil"/>
              <w:right w:val="nil"/>
            </w:tcBorders>
            <w:shd w:val="clear" w:color="auto" w:fill="auto"/>
            <w:noWrap/>
            <w:vAlign w:val="bottom"/>
            <w:hideMark/>
          </w:tcPr>
          <w:p w14:paraId="7AFB40FB" w14:textId="04546193"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0.000</w:t>
            </w:r>
          </w:p>
        </w:tc>
      </w:tr>
      <w:tr w:rsidR="008149A8" w:rsidRPr="009E08E4" w14:paraId="1B71B46B" w14:textId="77777777" w:rsidTr="008149A8">
        <w:trPr>
          <w:trHeight w:val="290"/>
        </w:trPr>
        <w:tc>
          <w:tcPr>
            <w:tcW w:w="1094" w:type="dxa"/>
            <w:tcBorders>
              <w:top w:val="nil"/>
              <w:left w:val="nil"/>
              <w:bottom w:val="nil"/>
              <w:right w:val="nil"/>
            </w:tcBorders>
            <w:shd w:val="clear" w:color="auto" w:fill="auto"/>
            <w:noWrap/>
            <w:vAlign w:val="bottom"/>
            <w:hideMark/>
          </w:tcPr>
          <w:p w14:paraId="4E8862BE" w14:textId="77777777" w:rsidR="008149A8" w:rsidRPr="009E08E4" w:rsidRDefault="008149A8" w:rsidP="008149A8">
            <w:pPr>
              <w:spacing w:after="0" w:line="240" w:lineRule="auto"/>
              <w:rPr>
                <w:rFonts w:ascii="Times New Roman" w:eastAsia="Times New Roman" w:hAnsi="Times New Roman" w:cs="Times New Roman"/>
                <w:color w:val="000000"/>
                <w:sz w:val="20"/>
                <w:szCs w:val="20"/>
              </w:rPr>
            </w:pPr>
            <w:r w:rsidRPr="009E08E4">
              <w:rPr>
                <w:rFonts w:ascii="Times New Roman" w:eastAsia="Times New Roman" w:hAnsi="Times New Roman" w:cs="Times New Roman"/>
                <w:color w:val="000000"/>
                <w:sz w:val="20"/>
                <w:szCs w:val="20"/>
              </w:rPr>
              <w:t>OVX</w:t>
            </w:r>
          </w:p>
        </w:tc>
        <w:tc>
          <w:tcPr>
            <w:tcW w:w="1180" w:type="dxa"/>
            <w:tcBorders>
              <w:top w:val="nil"/>
              <w:left w:val="nil"/>
              <w:bottom w:val="nil"/>
              <w:right w:val="nil"/>
            </w:tcBorders>
            <w:shd w:val="clear" w:color="auto" w:fill="auto"/>
            <w:noWrap/>
            <w:vAlign w:val="bottom"/>
            <w:hideMark/>
          </w:tcPr>
          <w:p w14:paraId="614102AA" w14:textId="30DD720C"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35.045</w:t>
            </w:r>
          </w:p>
        </w:tc>
        <w:tc>
          <w:tcPr>
            <w:tcW w:w="1180" w:type="dxa"/>
            <w:tcBorders>
              <w:top w:val="nil"/>
              <w:left w:val="nil"/>
              <w:bottom w:val="nil"/>
              <w:right w:val="nil"/>
            </w:tcBorders>
            <w:shd w:val="clear" w:color="auto" w:fill="auto"/>
            <w:noWrap/>
            <w:vAlign w:val="bottom"/>
            <w:hideMark/>
          </w:tcPr>
          <w:p w14:paraId="16102653" w14:textId="038C57CB"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39.014</w:t>
            </w:r>
          </w:p>
        </w:tc>
        <w:tc>
          <w:tcPr>
            <w:tcW w:w="1180" w:type="dxa"/>
            <w:tcBorders>
              <w:top w:val="nil"/>
              <w:left w:val="nil"/>
              <w:bottom w:val="nil"/>
              <w:right w:val="nil"/>
            </w:tcBorders>
            <w:shd w:val="clear" w:color="auto" w:fill="auto"/>
            <w:noWrap/>
            <w:vAlign w:val="bottom"/>
            <w:hideMark/>
          </w:tcPr>
          <w:p w14:paraId="049B0D95" w14:textId="2C74C906"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19.090</w:t>
            </w:r>
          </w:p>
        </w:tc>
        <w:tc>
          <w:tcPr>
            <w:tcW w:w="1180" w:type="dxa"/>
            <w:tcBorders>
              <w:top w:val="nil"/>
              <w:left w:val="nil"/>
              <w:bottom w:val="nil"/>
              <w:right w:val="nil"/>
            </w:tcBorders>
            <w:shd w:val="clear" w:color="auto" w:fill="auto"/>
            <w:noWrap/>
            <w:vAlign w:val="bottom"/>
            <w:hideMark/>
          </w:tcPr>
          <w:p w14:paraId="4B64AEEC" w14:textId="0B8FDCF2"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0.489</w:t>
            </w:r>
          </w:p>
        </w:tc>
        <w:tc>
          <w:tcPr>
            <w:tcW w:w="1180" w:type="dxa"/>
            <w:tcBorders>
              <w:top w:val="nil"/>
              <w:left w:val="nil"/>
              <w:bottom w:val="nil"/>
              <w:right w:val="nil"/>
            </w:tcBorders>
            <w:shd w:val="clear" w:color="auto" w:fill="auto"/>
            <w:noWrap/>
            <w:vAlign w:val="bottom"/>
            <w:hideMark/>
          </w:tcPr>
          <w:p w14:paraId="70976A80" w14:textId="310E610C"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4.253</w:t>
            </w:r>
          </w:p>
        </w:tc>
        <w:tc>
          <w:tcPr>
            <w:tcW w:w="1180" w:type="dxa"/>
            <w:tcBorders>
              <w:top w:val="nil"/>
              <w:left w:val="nil"/>
              <w:bottom w:val="nil"/>
              <w:right w:val="nil"/>
            </w:tcBorders>
            <w:shd w:val="clear" w:color="auto" w:fill="auto"/>
            <w:noWrap/>
            <w:vAlign w:val="bottom"/>
            <w:hideMark/>
          </w:tcPr>
          <w:p w14:paraId="7BDD9760" w14:textId="1DA9E4ED"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34.561</w:t>
            </w:r>
          </w:p>
        </w:tc>
        <w:tc>
          <w:tcPr>
            <w:tcW w:w="1180" w:type="dxa"/>
            <w:tcBorders>
              <w:top w:val="nil"/>
              <w:left w:val="nil"/>
              <w:bottom w:val="nil"/>
              <w:right w:val="nil"/>
            </w:tcBorders>
            <w:shd w:val="clear" w:color="auto" w:fill="auto"/>
            <w:noWrap/>
            <w:vAlign w:val="bottom"/>
            <w:hideMark/>
          </w:tcPr>
          <w:p w14:paraId="7F0526D9" w14:textId="782F9092"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0.705</w:t>
            </w:r>
          </w:p>
        </w:tc>
        <w:tc>
          <w:tcPr>
            <w:tcW w:w="1180" w:type="dxa"/>
            <w:tcBorders>
              <w:top w:val="nil"/>
              <w:left w:val="nil"/>
              <w:bottom w:val="nil"/>
              <w:right w:val="nil"/>
            </w:tcBorders>
            <w:shd w:val="clear" w:color="auto" w:fill="auto"/>
            <w:noWrap/>
            <w:vAlign w:val="bottom"/>
            <w:hideMark/>
          </w:tcPr>
          <w:p w14:paraId="03B03F1C" w14:textId="0D6B794F"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0.000</w:t>
            </w:r>
          </w:p>
        </w:tc>
      </w:tr>
      <w:tr w:rsidR="008149A8" w:rsidRPr="009E08E4" w14:paraId="76A11C67" w14:textId="77777777" w:rsidTr="008149A8">
        <w:trPr>
          <w:trHeight w:val="290"/>
        </w:trPr>
        <w:tc>
          <w:tcPr>
            <w:tcW w:w="1094" w:type="dxa"/>
            <w:tcBorders>
              <w:top w:val="nil"/>
              <w:left w:val="nil"/>
              <w:bottom w:val="nil"/>
              <w:right w:val="nil"/>
            </w:tcBorders>
            <w:shd w:val="clear" w:color="auto" w:fill="auto"/>
            <w:noWrap/>
            <w:vAlign w:val="bottom"/>
            <w:hideMark/>
          </w:tcPr>
          <w:p w14:paraId="74233CE4" w14:textId="77777777" w:rsidR="008149A8" w:rsidRPr="009E08E4" w:rsidRDefault="008149A8" w:rsidP="008149A8">
            <w:pPr>
              <w:spacing w:after="0" w:line="240" w:lineRule="auto"/>
              <w:rPr>
                <w:rFonts w:ascii="Times New Roman" w:eastAsia="Times New Roman" w:hAnsi="Times New Roman" w:cs="Times New Roman"/>
                <w:color w:val="000000"/>
                <w:sz w:val="20"/>
                <w:szCs w:val="20"/>
              </w:rPr>
            </w:pPr>
            <w:r w:rsidRPr="009E08E4">
              <w:rPr>
                <w:rFonts w:ascii="Times New Roman" w:eastAsia="Times New Roman" w:hAnsi="Times New Roman" w:cs="Times New Roman"/>
                <w:color w:val="000000"/>
                <w:sz w:val="20"/>
                <w:szCs w:val="20"/>
              </w:rPr>
              <w:t>VXN</w:t>
            </w:r>
          </w:p>
        </w:tc>
        <w:tc>
          <w:tcPr>
            <w:tcW w:w="1180" w:type="dxa"/>
            <w:tcBorders>
              <w:top w:val="nil"/>
              <w:left w:val="nil"/>
              <w:bottom w:val="nil"/>
              <w:right w:val="nil"/>
            </w:tcBorders>
            <w:shd w:val="clear" w:color="auto" w:fill="auto"/>
            <w:noWrap/>
            <w:vAlign w:val="bottom"/>
            <w:hideMark/>
          </w:tcPr>
          <w:p w14:paraId="06E3F6BC" w14:textId="4302328F"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19.700</w:t>
            </w:r>
          </w:p>
        </w:tc>
        <w:tc>
          <w:tcPr>
            <w:tcW w:w="1180" w:type="dxa"/>
            <w:tcBorders>
              <w:top w:val="nil"/>
              <w:left w:val="nil"/>
              <w:bottom w:val="nil"/>
              <w:right w:val="nil"/>
            </w:tcBorders>
            <w:shd w:val="clear" w:color="auto" w:fill="auto"/>
            <w:noWrap/>
            <w:vAlign w:val="bottom"/>
            <w:hideMark/>
          </w:tcPr>
          <w:p w14:paraId="727D402B" w14:textId="16F4623F"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22.603</w:t>
            </w:r>
          </w:p>
        </w:tc>
        <w:tc>
          <w:tcPr>
            <w:tcW w:w="1180" w:type="dxa"/>
            <w:tcBorders>
              <w:top w:val="nil"/>
              <w:left w:val="nil"/>
              <w:bottom w:val="nil"/>
              <w:right w:val="nil"/>
            </w:tcBorders>
            <w:shd w:val="clear" w:color="auto" w:fill="auto"/>
            <w:noWrap/>
            <w:vAlign w:val="bottom"/>
            <w:hideMark/>
          </w:tcPr>
          <w:p w14:paraId="4A13A276" w14:textId="4E81A762"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9.433</w:t>
            </w:r>
          </w:p>
        </w:tc>
        <w:tc>
          <w:tcPr>
            <w:tcW w:w="1180" w:type="dxa"/>
            <w:tcBorders>
              <w:top w:val="nil"/>
              <w:left w:val="nil"/>
              <w:bottom w:val="nil"/>
              <w:right w:val="nil"/>
            </w:tcBorders>
            <w:shd w:val="clear" w:color="auto" w:fill="auto"/>
            <w:noWrap/>
            <w:vAlign w:val="bottom"/>
            <w:hideMark/>
          </w:tcPr>
          <w:p w14:paraId="6E4C77FC" w14:textId="018B4DB5"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0.417</w:t>
            </w:r>
          </w:p>
        </w:tc>
        <w:tc>
          <w:tcPr>
            <w:tcW w:w="1180" w:type="dxa"/>
            <w:tcBorders>
              <w:top w:val="nil"/>
              <w:left w:val="nil"/>
              <w:bottom w:val="nil"/>
              <w:right w:val="nil"/>
            </w:tcBorders>
            <w:shd w:val="clear" w:color="auto" w:fill="auto"/>
            <w:noWrap/>
            <w:vAlign w:val="bottom"/>
            <w:hideMark/>
          </w:tcPr>
          <w:p w14:paraId="06A3E6B3" w14:textId="62544DE6"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2.060</w:t>
            </w:r>
          </w:p>
        </w:tc>
        <w:tc>
          <w:tcPr>
            <w:tcW w:w="1180" w:type="dxa"/>
            <w:tcBorders>
              <w:top w:val="nil"/>
              <w:left w:val="nil"/>
              <w:bottom w:val="nil"/>
              <w:right w:val="nil"/>
            </w:tcBorders>
            <w:shd w:val="clear" w:color="auto" w:fill="auto"/>
            <w:noWrap/>
            <w:vAlign w:val="bottom"/>
            <w:hideMark/>
          </w:tcPr>
          <w:p w14:paraId="58D62716" w14:textId="68C2CF2D"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6.073</w:t>
            </w:r>
          </w:p>
        </w:tc>
        <w:tc>
          <w:tcPr>
            <w:tcW w:w="1180" w:type="dxa"/>
            <w:tcBorders>
              <w:top w:val="nil"/>
              <w:left w:val="nil"/>
              <w:bottom w:val="nil"/>
              <w:right w:val="nil"/>
            </w:tcBorders>
            <w:shd w:val="clear" w:color="auto" w:fill="auto"/>
            <w:noWrap/>
            <w:vAlign w:val="bottom"/>
            <w:hideMark/>
          </w:tcPr>
          <w:p w14:paraId="2AA64A77" w14:textId="61108502"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0.818</w:t>
            </w:r>
          </w:p>
        </w:tc>
        <w:tc>
          <w:tcPr>
            <w:tcW w:w="1180" w:type="dxa"/>
            <w:tcBorders>
              <w:top w:val="nil"/>
              <w:left w:val="nil"/>
              <w:bottom w:val="nil"/>
              <w:right w:val="nil"/>
            </w:tcBorders>
            <w:shd w:val="clear" w:color="auto" w:fill="auto"/>
            <w:noWrap/>
            <w:vAlign w:val="bottom"/>
            <w:hideMark/>
          </w:tcPr>
          <w:p w14:paraId="4883780B" w14:textId="0A6B312A"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0.000</w:t>
            </w:r>
          </w:p>
        </w:tc>
      </w:tr>
      <w:tr w:rsidR="008149A8" w:rsidRPr="009E08E4" w14:paraId="476591C4" w14:textId="77777777" w:rsidTr="008149A8">
        <w:trPr>
          <w:trHeight w:val="290"/>
        </w:trPr>
        <w:tc>
          <w:tcPr>
            <w:tcW w:w="1094" w:type="dxa"/>
            <w:tcBorders>
              <w:top w:val="nil"/>
              <w:left w:val="nil"/>
              <w:bottom w:val="nil"/>
              <w:right w:val="nil"/>
            </w:tcBorders>
            <w:shd w:val="clear" w:color="auto" w:fill="auto"/>
            <w:noWrap/>
            <w:vAlign w:val="bottom"/>
            <w:hideMark/>
          </w:tcPr>
          <w:p w14:paraId="1DCB9687" w14:textId="77777777" w:rsidR="008149A8" w:rsidRPr="009E08E4" w:rsidRDefault="008149A8" w:rsidP="008149A8">
            <w:pPr>
              <w:spacing w:after="0" w:line="240" w:lineRule="auto"/>
              <w:rPr>
                <w:rFonts w:ascii="Times New Roman" w:eastAsia="Times New Roman" w:hAnsi="Times New Roman" w:cs="Times New Roman"/>
                <w:color w:val="000000"/>
                <w:sz w:val="20"/>
                <w:szCs w:val="20"/>
              </w:rPr>
            </w:pPr>
            <w:r w:rsidRPr="009E08E4">
              <w:rPr>
                <w:rFonts w:ascii="Times New Roman" w:eastAsia="Times New Roman" w:hAnsi="Times New Roman" w:cs="Times New Roman"/>
                <w:color w:val="000000"/>
                <w:sz w:val="20"/>
                <w:szCs w:val="20"/>
              </w:rPr>
              <w:t>EPU</w:t>
            </w:r>
          </w:p>
        </w:tc>
        <w:tc>
          <w:tcPr>
            <w:tcW w:w="1180" w:type="dxa"/>
            <w:tcBorders>
              <w:top w:val="nil"/>
              <w:left w:val="nil"/>
              <w:bottom w:val="nil"/>
              <w:right w:val="nil"/>
            </w:tcBorders>
            <w:shd w:val="clear" w:color="auto" w:fill="auto"/>
            <w:noWrap/>
            <w:vAlign w:val="bottom"/>
            <w:hideMark/>
          </w:tcPr>
          <w:p w14:paraId="265A7D4E" w14:textId="22FA1E65"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101.570</w:t>
            </w:r>
          </w:p>
        </w:tc>
        <w:tc>
          <w:tcPr>
            <w:tcW w:w="1180" w:type="dxa"/>
            <w:tcBorders>
              <w:top w:val="nil"/>
              <w:left w:val="nil"/>
              <w:bottom w:val="nil"/>
              <w:right w:val="nil"/>
            </w:tcBorders>
            <w:shd w:val="clear" w:color="auto" w:fill="auto"/>
            <w:noWrap/>
            <w:vAlign w:val="bottom"/>
            <w:hideMark/>
          </w:tcPr>
          <w:p w14:paraId="7885DF04" w14:textId="1775A40B"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124.721</w:t>
            </w:r>
          </w:p>
        </w:tc>
        <w:tc>
          <w:tcPr>
            <w:tcW w:w="1180" w:type="dxa"/>
            <w:tcBorders>
              <w:top w:val="nil"/>
              <w:left w:val="nil"/>
              <w:bottom w:val="nil"/>
              <w:right w:val="nil"/>
            </w:tcBorders>
            <w:shd w:val="clear" w:color="auto" w:fill="auto"/>
            <w:noWrap/>
            <w:vAlign w:val="bottom"/>
            <w:hideMark/>
          </w:tcPr>
          <w:p w14:paraId="42C999CF" w14:textId="35B1A1F4"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86.497</w:t>
            </w:r>
          </w:p>
        </w:tc>
        <w:tc>
          <w:tcPr>
            <w:tcW w:w="1180" w:type="dxa"/>
            <w:tcBorders>
              <w:top w:val="nil"/>
              <w:left w:val="nil"/>
              <w:bottom w:val="nil"/>
              <w:right w:val="nil"/>
            </w:tcBorders>
            <w:shd w:val="clear" w:color="auto" w:fill="auto"/>
            <w:noWrap/>
            <w:vAlign w:val="bottom"/>
            <w:hideMark/>
          </w:tcPr>
          <w:p w14:paraId="4B1E6FB1" w14:textId="3A7CC9E1"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0.694</w:t>
            </w:r>
          </w:p>
        </w:tc>
        <w:tc>
          <w:tcPr>
            <w:tcW w:w="1180" w:type="dxa"/>
            <w:tcBorders>
              <w:top w:val="nil"/>
              <w:left w:val="nil"/>
              <w:bottom w:val="nil"/>
              <w:right w:val="nil"/>
            </w:tcBorders>
            <w:shd w:val="clear" w:color="auto" w:fill="auto"/>
            <w:noWrap/>
            <w:vAlign w:val="bottom"/>
            <w:hideMark/>
          </w:tcPr>
          <w:p w14:paraId="69AFBCCE" w14:textId="642CA8E4"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2.333</w:t>
            </w:r>
          </w:p>
        </w:tc>
        <w:tc>
          <w:tcPr>
            <w:tcW w:w="1180" w:type="dxa"/>
            <w:tcBorders>
              <w:top w:val="nil"/>
              <w:left w:val="nil"/>
              <w:bottom w:val="nil"/>
              <w:right w:val="nil"/>
            </w:tcBorders>
            <w:shd w:val="clear" w:color="auto" w:fill="auto"/>
            <w:noWrap/>
            <w:vAlign w:val="bottom"/>
            <w:hideMark/>
          </w:tcPr>
          <w:p w14:paraId="15EB0D12" w14:textId="6D63885C"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8.210</w:t>
            </w:r>
          </w:p>
        </w:tc>
        <w:tc>
          <w:tcPr>
            <w:tcW w:w="1180" w:type="dxa"/>
            <w:tcBorders>
              <w:top w:val="nil"/>
              <w:left w:val="nil"/>
              <w:bottom w:val="nil"/>
              <w:right w:val="nil"/>
            </w:tcBorders>
            <w:shd w:val="clear" w:color="auto" w:fill="auto"/>
            <w:noWrap/>
            <w:vAlign w:val="bottom"/>
            <w:hideMark/>
          </w:tcPr>
          <w:p w14:paraId="75612408" w14:textId="41413B88"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0.802</w:t>
            </w:r>
          </w:p>
        </w:tc>
        <w:tc>
          <w:tcPr>
            <w:tcW w:w="1180" w:type="dxa"/>
            <w:tcBorders>
              <w:top w:val="nil"/>
              <w:left w:val="nil"/>
              <w:bottom w:val="nil"/>
              <w:right w:val="nil"/>
            </w:tcBorders>
            <w:shd w:val="clear" w:color="auto" w:fill="auto"/>
            <w:noWrap/>
            <w:vAlign w:val="bottom"/>
            <w:hideMark/>
          </w:tcPr>
          <w:p w14:paraId="2AB04576" w14:textId="4E74A746"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0.000</w:t>
            </w:r>
          </w:p>
        </w:tc>
      </w:tr>
      <w:tr w:rsidR="008149A8" w:rsidRPr="009E08E4" w14:paraId="7794CABB" w14:textId="77777777" w:rsidTr="008149A8">
        <w:trPr>
          <w:trHeight w:val="290"/>
        </w:trPr>
        <w:tc>
          <w:tcPr>
            <w:tcW w:w="1094" w:type="dxa"/>
            <w:tcBorders>
              <w:top w:val="nil"/>
              <w:left w:val="nil"/>
              <w:bottom w:val="nil"/>
              <w:right w:val="nil"/>
            </w:tcBorders>
            <w:shd w:val="clear" w:color="auto" w:fill="auto"/>
            <w:noWrap/>
            <w:vAlign w:val="bottom"/>
            <w:hideMark/>
          </w:tcPr>
          <w:p w14:paraId="1E95D423" w14:textId="77777777" w:rsidR="008149A8" w:rsidRPr="009E08E4" w:rsidRDefault="008149A8" w:rsidP="008149A8">
            <w:pPr>
              <w:spacing w:after="0" w:line="240" w:lineRule="auto"/>
              <w:rPr>
                <w:rFonts w:ascii="Times New Roman" w:eastAsia="Times New Roman" w:hAnsi="Times New Roman" w:cs="Times New Roman"/>
                <w:color w:val="000000"/>
                <w:sz w:val="20"/>
                <w:szCs w:val="20"/>
              </w:rPr>
            </w:pPr>
            <w:r w:rsidRPr="009E08E4">
              <w:rPr>
                <w:rFonts w:ascii="Times New Roman" w:eastAsia="Times New Roman" w:hAnsi="Times New Roman" w:cs="Times New Roman"/>
                <w:color w:val="000000"/>
                <w:sz w:val="20"/>
                <w:szCs w:val="20"/>
              </w:rPr>
              <w:t>EMU</w:t>
            </w:r>
          </w:p>
        </w:tc>
        <w:tc>
          <w:tcPr>
            <w:tcW w:w="1180" w:type="dxa"/>
            <w:tcBorders>
              <w:top w:val="nil"/>
              <w:left w:val="nil"/>
              <w:bottom w:val="nil"/>
              <w:right w:val="nil"/>
            </w:tcBorders>
            <w:shd w:val="clear" w:color="auto" w:fill="auto"/>
            <w:noWrap/>
            <w:vAlign w:val="bottom"/>
            <w:hideMark/>
          </w:tcPr>
          <w:p w14:paraId="74F80493" w14:textId="3CC81272"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32.750</w:t>
            </w:r>
          </w:p>
        </w:tc>
        <w:tc>
          <w:tcPr>
            <w:tcW w:w="1180" w:type="dxa"/>
            <w:tcBorders>
              <w:top w:val="nil"/>
              <w:left w:val="nil"/>
              <w:bottom w:val="nil"/>
              <w:right w:val="nil"/>
            </w:tcBorders>
            <w:shd w:val="clear" w:color="auto" w:fill="auto"/>
            <w:noWrap/>
            <w:vAlign w:val="bottom"/>
            <w:hideMark/>
          </w:tcPr>
          <w:p w14:paraId="69D46EA4" w14:textId="3FABA87F"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59.908</w:t>
            </w:r>
          </w:p>
        </w:tc>
        <w:tc>
          <w:tcPr>
            <w:tcW w:w="1180" w:type="dxa"/>
            <w:tcBorders>
              <w:top w:val="nil"/>
              <w:left w:val="nil"/>
              <w:bottom w:val="nil"/>
              <w:right w:val="nil"/>
            </w:tcBorders>
            <w:shd w:val="clear" w:color="auto" w:fill="auto"/>
            <w:noWrap/>
            <w:vAlign w:val="bottom"/>
            <w:hideMark/>
          </w:tcPr>
          <w:p w14:paraId="15A57182" w14:textId="425DA918"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82.233</w:t>
            </w:r>
          </w:p>
        </w:tc>
        <w:tc>
          <w:tcPr>
            <w:tcW w:w="1180" w:type="dxa"/>
            <w:tcBorders>
              <w:top w:val="nil"/>
              <w:left w:val="nil"/>
              <w:bottom w:val="nil"/>
              <w:right w:val="nil"/>
            </w:tcBorders>
            <w:shd w:val="clear" w:color="auto" w:fill="auto"/>
            <w:noWrap/>
            <w:vAlign w:val="bottom"/>
            <w:hideMark/>
          </w:tcPr>
          <w:p w14:paraId="0700393C" w14:textId="3B44C461"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1.373</w:t>
            </w:r>
          </w:p>
        </w:tc>
        <w:tc>
          <w:tcPr>
            <w:tcW w:w="1180" w:type="dxa"/>
            <w:tcBorders>
              <w:top w:val="nil"/>
              <w:left w:val="nil"/>
              <w:bottom w:val="nil"/>
              <w:right w:val="nil"/>
            </w:tcBorders>
            <w:shd w:val="clear" w:color="auto" w:fill="auto"/>
            <w:noWrap/>
            <w:vAlign w:val="bottom"/>
            <w:hideMark/>
          </w:tcPr>
          <w:p w14:paraId="2EA05E55" w14:textId="0B980C46"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4.150</w:t>
            </w:r>
          </w:p>
        </w:tc>
        <w:tc>
          <w:tcPr>
            <w:tcW w:w="1180" w:type="dxa"/>
            <w:tcBorders>
              <w:top w:val="nil"/>
              <w:left w:val="nil"/>
              <w:bottom w:val="nil"/>
              <w:right w:val="nil"/>
            </w:tcBorders>
            <w:shd w:val="clear" w:color="auto" w:fill="auto"/>
            <w:noWrap/>
            <w:vAlign w:val="bottom"/>
            <w:hideMark/>
          </w:tcPr>
          <w:p w14:paraId="594FAACF" w14:textId="32137C4D"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28.319</w:t>
            </w:r>
          </w:p>
        </w:tc>
        <w:tc>
          <w:tcPr>
            <w:tcW w:w="1180" w:type="dxa"/>
            <w:tcBorders>
              <w:top w:val="nil"/>
              <w:left w:val="nil"/>
              <w:bottom w:val="nil"/>
              <w:right w:val="nil"/>
            </w:tcBorders>
            <w:shd w:val="clear" w:color="auto" w:fill="auto"/>
            <w:noWrap/>
            <w:vAlign w:val="bottom"/>
            <w:hideMark/>
          </w:tcPr>
          <w:p w14:paraId="6058AF6C" w14:textId="472B2BE9"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0.615</w:t>
            </w:r>
          </w:p>
        </w:tc>
        <w:tc>
          <w:tcPr>
            <w:tcW w:w="1180" w:type="dxa"/>
            <w:tcBorders>
              <w:top w:val="nil"/>
              <w:left w:val="nil"/>
              <w:bottom w:val="nil"/>
              <w:right w:val="nil"/>
            </w:tcBorders>
            <w:shd w:val="clear" w:color="auto" w:fill="auto"/>
            <w:noWrap/>
            <w:vAlign w:val="bottom"/>
            <w:hideMark/>
          </w:tcPr>
          <w:p w14:paraId="454EB579" w14:textId="6712DF45"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0.000</w:t>
            </w:r>
          </w:p>
        </w:tc>
      </w:tr>
      <w:tr w:rsidR="008149A8" w:rsidRPr="009E08E4" w14:paraId="15617A99" w14:textId="77777777" w:rsidTr="008149A8">
        <w:trPr>
          <w:trHeight w:val="290"/>
        </w:trPr>
        <w:tc>
          <w:tcPr>
            <w:tcW w:w="1094" w:type="dxa"/>
            <w:tcBorders>
              <w:top w:val="nil"/>
              <w:left w:val="nil"/>
              <w:bottom w:val="single" w:sz="4" w:space="0" w:color="auto"/>
              <w:right w:val="nil"/>
            </w:tcBorders>
            <w:shd w:val="clear" w:color="auto" w:fill="auto"/>
            <w:noWrap/>
            <w:vAlign w:val="bottom"/>
            <w:hideMark/>
          </w:tcPr>
          <w:p w14:paraId="223257BB" w14:textId="77777777" w:rsidR="008149A8" w:rsidRPr="009E08E4" w:rsidRDefault="008149A8" w:rsidP="008149A8">
            <w:pPr>
              <w:spacing w:after="0" w:line="240" w:lineRule="auto"/>
              <w:rPr>
                <w:rFonts w:ascii="Times New Roman" w:eastAsia="Times New Roman" w:hAnsi="Times New Roman" w:cs="Times New Roman"/>
                <w:color w:val="000000"/>
                <w:sz w:val="20"/>
                <w:szCs w:val="20"/>
              </w:rPr>
            </w:pPr>
            <w:r w:rsidRPr="009E08E4">
              <w:rPr>
                <w:rFonts w:ascii="Times New Roman" w:eastAsia="Times New Roman" w:hAnsi="Times New Roman" w:cs="Times New Roman"/>
                <w:color w:val="000000"/>
                <w:sz w:val="20"/>
                <w:szCs w:val="20"/>
              </w:rPr>
              <w:t>EMV_IDT</w:t>
            </w:r>
          </w:p>
        </w:tc>
        <w:tc>
          <w:tcPr>
            <w:tcW w:w="1180" w:type="dxa"/>
            <w:tcBorders>
              <w:top w:val="nil"/>
              <w:left w:val="nil"/>
              <w:bottom w:val="single" w:sz="4" w:space="0" w:color="auto"/>
              <w:right w:val="nil"/>
            </w:tcBorders>
            <w:shd w:val="clear" w:color="auto" w:fill="auto"/>
            <w:noWrap/>
            <w:vAlign w:val="bottom"/>
            <w:hideMark/>
          </w:tcPr>
          <w:p w14:paraId="005C54B7" w14:textId="22C84A97"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0.350</w:t>
            </w:r>
          </w:p>
        </w:tc>
        <w:tc>
          <w:tcPr>
            <w:tcW w:w="1180" w:type="dxa"/>
            <w:tcBorders>
              <w:top w:val="nil"/>
              <w:left w:val="nil"/>
              <w:bottom w:val="single" w:sz="4" w:space="0" w:color="auto"/>
              <w:right w:val="nil"/>
            </w:tcBorders>
            <w:shd w:val="clear" w:color="auto" w:fill="auto"/>
            <w:noWrap/>
            <w:vAlign w:val="bottom"/>
            <w:hideMark/>
          </w:tcPr>
          <w:p w14:paraId="712A914C" w14:textId="1D83FBED"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3.108</w:t>
            </w:r>
          </w:p>
        </w:tc>
        <w:tc>
          <w:tcPr>
            <w:tcW w:w="1180" w:type="dxa"/>
            <w:tcBorders>
              <w:top w:val="nil"/>
              <w:left w:val="nil"/>
              <w:bottom w:val="single" w:sz="4" w:space="0" w:color="auto"/>
              <w:right w:val="nil"/>
            </w:tcBorders>
            <w:shd w:val="clear" w:color="auto" w:fill="auto"/>
            <w:noWrap/>
            <w:vAlign w:val="bottom"/>
            <w:hideMark/>
          </w:tcPr>
          <w:p w14:paraId="0914FFE2" w14:textId="09353F3F"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7.363</w:t>
            </w:r>
          </w:p>
        </w:tc>
        <w:tc>
          <w:tcPr>
            <w:tcW w:w="1180" w:type="dxa"/>
            <w:tcBorders>
              <w:top w:val="nil"/>
              <w:left w:val="nil"/>
              <w:bottom w:val="single" w:sz="4" w:space="0" w:color="auto"/>
              <w:right w:val="nil"/>
            </w:tcBorders>
            <w:shd w:val="clear" w:color="auto" w:fill="auto"/>
            <w:noWrap/>
            <w:vAlign w:val="bottom"/>
            <w:hideMark/>
          </w:tcPr>
          <w:p w14:paraId="05A938ED" w14:textId="464552AA"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2.369</w:t>
            </w:r>
          </w:p>
        </w:tc>
        <w:tc>
          <w:tcPr>
            <w:tcW w:w="1180" w:type="dxa"/>
            <w:tcBorders>
              <w:top w:val="nil"/>
              <w:left w:val="nil"/>
              <w:bottom w:val="single" w:sz="4" w:space="0" w:color="auto"/>
              <w:right w:val="nil"/>
            </w:tcBorders>
            <w:shd w:val="clear" w:color="auto" w:fill="auto"/>
            <w:noWrap/>
            <w:vAlign w:val="bottom"/>
            <w:hideMark/>
          </w:tcPr>
          <w:p w14:paraId="47F99BF0" w14:textId="312DFEAF"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3.536</w:t>
            </w:r>
          </w:p>
        </w:tc>
        <w:tc>
          <w:tcPr>
            <w:tcW w:w="1180" w:type="dxa"/>
            <w:tcBorders>
              <w:top w:val="nil"/>
              <w:left w:val="nil"/>
              <w:bottom w:val="single" w:sz="4" w:space="0" w:color="auto"/>
              <w:right w:val="nil"/>
            </w:tcBorders>
            <w:shd w:val="clear" w:color="auto" w:fill="auto"/>
            <w:noWrap/>
            <w:vAlign w:val="bottom"/>
            <w:hideMark/>
          </w:tcPr>
          <w:p w14:paraId="4DE016BC" w14:textId="58FC8698"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15.658</w:t>
            </w:r>
          </w:p>
        </w:tc>
        <w:tc>
          <w:tcPr>
            <w:tcW w:w="1180" w:type="dxa"/>
            <w:tcBorders>
              <w:top w:val="nil"/>
              <w:left w:val="nil"/>
              <w:bottom w:val="single" w:sz="4" w:space="0" w:color="auto"/>
              <w:right w:val="nil"/>
            </w:tcBorders>
            <w:shd w:val="clear" w:color="auto" w:fill="auto"/>
            <w:noWrap/>
            <w:vAlign w:val="bottom"/>
            <w:hideMark/>
          </w:tcPr>
          <w:p w14:paraId="28D50E41" w14:textId="072E0EBB"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0.483</w:t>
            </w:r>
          </w:p>
        </w:tc>
        <w:tc>
          <w:tcPr>
            <w:tcW w:w="1180" w:type="dxa"/>
            <w:tcBorders>
              <w:top w:val="nil"/>
              <w:left w:val="nil"/>
              <w:bottom w:val="single" w:sz="4" w:space="0" w:color="auto"/>
              <w:right w:val="nil"/>
            </w:tcBorders>
            <w:shd w:val="clear" w:color="auto" w:fill="auto"/>
            <w:noWrap/>
            <w:vAlign w:val="bottom"/>
            <w:hideMark/>
          </w:tcPr>
          <w:p w14:paraId="109092EE" w14:textId="18B1CE45" w:rsidR="008149A8" w:rsidRPr="008149A8" w:rsidRDefault="008149A8" w:rsidP="008149A8">
            <w:pPr>
              <w:spacing w:after="0" w:line="240" w:lineRule="auto"/>
              <w:jc w:val="center"/>
              <w:rPr>
                <w:rFonts w:ascii="Times New Roman" w:eastAsia="Times New Roman" w:hAnsi="Times New Roman" w:cs="Times New Roman"/>
                <w:color w:val="000000"/>
                <w:sz w:val="20"/>
                <w:szCs w:val="20"/>
              </w:rPr>
            </w:pPr>
            <w:r w:rsidRPr="008149A8">
              <w:rPr>
                <w:rFonts w:ascii="Times New Roman" w:hAnsi="Times New Roman" w:cs="Times New Roman"/>
                <w:color w:val="000000"/>
              </w:rPr>
              <w:t>0.000</w:t>
            </w:r>
          </w:p>
        </w:tc>
      </w:tr>
    </w:tbl>
    <w:p w14:paraId="288E0792" w14:textId="5503CB6D" w:rsidR="009E08E4" w:rsidRDefault="009E08E4" w:rsidP="009E08E4">
      <w:pPr>
        <w:spacing w:after="0" w:line="240" w:lineRule="auto"/>
        <w:rPr>
          <w:rFonts w:ascii="Times New Roman" w:hAnsi="Times New Roman" w:cs="Times New Roman"/>
          <w:lang w:bidi="en-US"/>
        </w:rPr>
      </w:pPr>
      <w:r w:rsidRPr="009E08E4">
        <w:rPr>
          <w:rFonts w:ascii="Times New Roman" w:hAnsi="Times New Roman" w:cs="Times New Roman"/>
          <w:lang w:bidi="en-US"/>
        </w:rPr>
        <w:t xml:space="preserve">PBW, ICLN, and QCLN are </w:t>
      </w:r>
      <w:r>
        <w:rPr>
          <w:rFonts w:ascii="Times New Roman" w:hAnsi="Times New Roman" w:cs="Times New Roman"/>
          <w:lang w:bidi="en-US"/>
        </w:rPr>
        <w:t xml:space="preserve">expressed </w:t>
      </w:r>
      <w:r w:rsidRPr="009E08E4">
        <w:rPr>
          <w:rFonts w:ascii="Times New Roman" w:hAnsi="Times New Roman" w:cs="Times New Roman"/>
          <w:lang w:bidi="en-US"/>
        </w:rPr>
        <w:t xml:space="preserve">in continuous returns. </w:t>
      </w:r>
      <w:r>
        <w:rPr>
          <w:rFonts w:ascii="Times New Roman" w:hAnsi="Times New Roman" w:cs="Times New Roman"/>
          <w:lang w:bidi="en-US"/>
        </w:rPr>
        <w:t xml:space="preserve">Other variables </w:t>
      </w:r>
      <w:r w:rsidR="009E6477">
        <w:rPr>
          <w:rFonts w:ascii="Times New Roman" w:hAnsi="Times New Roman" w:cs="Times New Roman"/>
          <w:lang w:bidi="en-US"/>
        </w:rPr>
        <w:t xml:space="preserve">are </w:t>
      </w:r>
      <w:r>
        <w:rPr>
          <w:rFonts w:ascii="Times New Roman" w:hAnsi="Times New Roman" w:cs="Times New Roman"/>
          <w:lang w:bidi="en-US"/>
        </w:rPr>
        <w:t xml:space="preserve">in original units. </w:t>
      </w:r>
      <w:r w:rsidRPr="009E08E4">
        <w:rPr>
          <w:rFonts w:ascii="Times New Roman" w:hAnsi="Times New Roman" w:cs="Times New Roman"/>
          <w:lang w:bidi="en-US"/>
        </w:rPr>
        <w:t xml:space="preserve">Data </w:t>
      </w:r>
      <w:r w:rsidR="00B1270F">
        <w:rPr>
          <w:rFonts w:ascii="Times New Roman" w:hAnsi="Times New Roman" w:cs="Times New Roman"/>
          <w:lang w:bidi="en-US"/>
        </w:rPr>
        <w:t>are</w:t>
      </w:r>
      <w:r w:rsidR="009E6477">
        <w:rPr>
          <w:rFonts w:ascii="Times New Roman" w:hAnsi="Times New Roman" w:cs="Times New Roman"/>
          <w:lang w:bidi="en-US"/>
        </w:rPr>
        <w:t xml:space="preserve"> </w:t>
      </w:r>
      <w:r w:rsidRPr="009E08E4">
        <w:rPr>
          <w:rFonts w:ascii="Times New Roman" w:hAnsi="Times New Roman" w:cs="Times New Roman"/>
          <w:lang w:bidi="en-US"/>
        </w:rPr>
        <w:t xml:space="preserve">for the period </w:t>
      </w:r>
      <w:r>
        <w:rPr>
          <w:rFonts w:ascii="Times New Roman" w:hAnsi="Times New Roman" w:cs="Times New Roman"/>
          <w:lang w:bidi="en-US"/>
        </w:rPr>
        <w:t>July</w:t>
      </w:r>
      <w:r w:rsidRPr="009E08E4">
        <w:rPr>
          <w:rFonts w:ascii="Times New Roman" w:hAnsi="Times New Roman" w:cs="Times New Roman"/>
          <w:lang w:bidi="en-US"/>
        </w:rPr>
        <w:t xml:space="preserve"> </w:t>
      </w:r>
      <w:r>
        <w:rPr>
          <w:rFonts w:ascii="Times New Roman" w:hAnsi="Times New Roman" w:cs="Times New Roman"/>
          <w:lang w:bidi="en-US"/>
        </w:rPr>
        <w:t>2</w:t>
      </w:r>
      <w:r w:rsidRPr="009E08E4">
        <w:rPr>
          <w:rFonts w:ascii="Times New Roman" w:hAnsi="Times New Roman" w:cs="Times New Roman"/>
          <w:lang w:bidi="en-US"/>
        </w:rPr>
        <w:t>, 20</w:t>
      </w:r>
      <w:r>
        <w:rPr>
          <w:rFonts w:ascii="Times New Roman" w:hAnsi="Times New Roman" w:cs="Times New Roman"/>
          <w:lang w:bidi="en-US"/>
        </w:rPr>
        <w:t>08</w:t>
      </w:r>
      <w:r w:rsidRPr="009E08E4">
        <w:rPr>
          <w:rFonts w:ascii="Times New Roman" w:hAnsi="Times New Roman" w:cs="Times New Roman"/>
          <w:lang w:bidi="en-US"/>
        </w:rPr>
        <w:t xml:space="preserve"> to </w:t>
      </w:r>
      <w:r w:rsidR="008149A8">
        <w:rPr>
          <w:rFonts w:ascii="Times New Roman" w:hAnsi="Times New Roman" w:cs="Times New Roman"/>
          <w:lang w:bidi="en-US"/>
        </w:rPr>
        <w:t>June</w:t>
      </w:r>
      <w:r w:rsidRPr="009E08E4">
        <w:rPr>
          <w:rFonts w:ascii="Times New Roman" w:hAnsi="Times New Roman" w:cs="Times New Roman"/>
          <w:lang w:bidi="en-US"/>
        </w:rPr>
        <w:t xml:space="preserve"> 3</w:t>
      </w:r>
      <w:r w:rsidR="008149A8">
        <w:rPr>
          <w:rFonts w:ascii="Times New Roman" w:hAnsi="Times New Roman" w:cs="Times New Roman"/>
          <w:lang w:bidi="en-US"/>
        </w:rPr>
        <w:t>0</w:t>
      </w:r>
      <w:r w:rsidRPr="009E08E4">
        <w:rPr>
          <w:rFonts w:ascii="Times New Roman" w:hAnsi="Times New Roman" w:cs="Times New Roman"/>
          <w:lang w:bidi="en-US"/>
        </w:rPr>
        <w:t>, 202</w:t>
      </w:r>
      <w:r>
        <w:rPr>
          <w:rFonts w:ascii="Times New Roman" w:hAnsi="Times New Roman" w:cs="Times New Roman"/>
          <w:lang w:bidi="en-US"/>
        </w:rPr>
        <w:t>2.</w:t>
      </w:r>
    </w:p>
    <w:p w14:paraId="7CCCCF3B" w14:textId="5836F32F" w:rsidR="00D60CC6" w:rsidRDefault="00D60CC6" w:rsidP="009E08E4">
      <w:pPr>
        <w:spacing w:after="0" w:line="240" w:lineRule="auto"/>
        <w:rPr>
          <w:rFonts w:ascii="Times New Roman" w:hAnsi="Times New Roman" w:cs="Times New Roman"/>
          <w:lang w:bidi="en-US"/>
        </w:rPr>
      </w:pPr>
    </w:p>
    <w:p w14:paraId="4F1C2984" w14:textId="067185D2" w:rsidR="00D60CC6" w:rsidRDefault="00D60CC6" w:rsidP="009E08E4">
      <w:pPr>
        <w:spacing w:after="0" w:line="240" w:lineRule="auto"/>
        <w:rPr>
          <w:rFonts w:ascii="Times New Roman" w:hAnsi="Times New Roman" w:cs="Times New Roman"/>
          <w:lang w:bidi="en-US"/>
        </w:rPr>
      </w:pPr>
    </w:p>
    <w:p w14:paraId="4C278D19" w14:textId="245CE0AF" w:rsidR="00D60CC6" w:rsidRDefault="00D60CC6" w:rsidP="009E08E4">
      <w:pPr>
        <w:spacing w:after="0" w:line="240" w:lineRule="auto"/>
        <w:rPr>
          <w:rFonts w:ascii="Times New Roman" w:hAnsi="Times New Roman" w:cs="Times New Roman"/>
          <w:lang w:bidi="en-US"/>
        </w:rPr>
      </w:pPr>
    </w:p>
    <w:p w14:paraId="1E660831" w14:textId="68A487AB" w:rsidR="00EF04A6" w:rsidRPr="00C36BEF" w:rsidRDefault="00743207" w:rsidP="00EF04A6">
      <w:pPr>
        <w:spacing w:after="0" w:line="480" w:lineRule="auto"/>
        <w:ind w:firstLine="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T</w:t>
      </w:r>
      <w:r w:rsidR="00EF04A6" w:rsidRPr="00C36BEF">
        <w:rPr>
          <w:rStyle w:val="Hyperlink"/>
          <w:rFonts w:ascii="Times New Roman" w:hAnsi="Times New Roman" w:cs="Times New Roman"/>
          <w:color w:val="auto"/>
          <w:sz w:val="24"/>
          <w:szCs w:val="24"/>
          <w:u w:val="none"/>
        </w:rPr>
        <w:t>he percentage of up (positive) days for each forecast day</w:t>
      </w:r>
      <w:r w:rsidR="00EF04A6">
        <w:rPr>
          <w:rStyle w:val="Hyperlink"/>
          <w:rFonts w:ascii="Times New Roman" w:hAnsi="Times New Roman" w:cs="Times New Roman"/>
          <w:color w:val="auto"/>
          <w:sz w:val="24"/>
          <w:szCs w:val="24"/>
          <w:u w:val="none"/>
        </w:rPr>
        <w:t xml:space="preserve"> and each clean energy ETF</w:t>
      </w:r>
      <w:r>
        <w:rPr>
          <w:rStyle w:val="Hyperlink"/>
          <w:rFonts w:ascii="Times New Roman" w:hAnsi="Times New Roman" w:cs="Times New Roman"/>
          <w:color w:val="auto"/>
          <w:sz w:val="24"/>
          <w:szCs w:val="24"/>
          <w:u w:val="none"/>
        </w:rPr>
        <w:t xml:space="preserve"> are displayed in Figure 2</w:t>
      </w:r>
      <w:r w:rsidR="00EF04A6" w:rsidRPr="00C36BEF">
        <w:rPr>
          <w:rStyle w:val="Hyperlink"/>
          <w:rFonts w:ascii="Times New Roman" w:hAnsi="Times New Roman" w:cs="Times New Roman"/>
          <w:color w:val="auto"/>
          <w:sz w:val="24"/>
          <w:szCs w:val="24"/>
          <w:u w:val="none"/>
        </w:rPr>
        <w:t>. The values range between 0.50 and 0.55</w:t>
      </w:r>
      <w:r>
        <w:rPr>
          <w:rStyle w:val="Hyperlink"/>
          <w:rFonts w:ascii="Times New Roman" w:hAnsi="Times New Roman" w:cs="Times New Roman"/>
          <w:color w:val="auto"/>
          <w:sz w:val="24"/>
          <w:szCs w:val="24"/>
          <w:u w:val="none"/>
        </w:rPr>
        <w:t>. This</w:t>
      </w:r>
      <w:r w:rsidR="00EF04A6" w:rsidRPr="00C36BEF">
        <w:rPr>
          <w:rStyle w:val="Hyperlink"/>
          <w:rFonts w:ascii="Times New Roman" w:hAnsi="Times New Roman" w:cs="Times New Roman"/>
          <w:color w:val="auto"/>
          <w:sz w:val="24"/>
          <w:szCs w:val="24"/>
          <w:u w:val="none"/>
        </w:rPr>
        <w:t xml:space="preserve"> indicat</w:t>
      </w:r>
      <w:r>
        <w:rPr>
          <w:rStyle w:val="Hyperlink"/>
          <w:rFonts w:ascii="Times New Roman" w:hAnsi="Times New Roman" w:cs="Times New Roman"/>
          <w:color w:val="auto"/>
          <w:sz w:val="24"/>
          <w:szCs w:val="24"/>
          <w:u w:val="none"/>
        </w:rPr>
        <w:t>es</w:t>
      </w:r>
      <w:r w:rsidR="00EF04A6" w:rsidRPr="00C36BEF">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 xml:space="preserve">a relatively </w:t>
      </w:r>
      <w:r w:rsidR="00EF04A6" w:rsidRPr="00C36BEF">
        <w:rPr>
          <w:rStyle w:val="Hyperlink"/>
          <w:rFonts w:ascii="Times New Roman" w:hAnsi="Times New Roman" w:cs="Times New Roman"/>
          <w:color w:val="auto"/>
          <w:sz w:val="24"/>
          <w:szCs w:val="24"/>
          <w:u w:val="none"/>
        </w:rPr>
        <w:t>even class distribution.</w:t>
      </w:r>
    </w:p>
    <w:p w14:paraId="1A2462EF" w14:textId="00F417A3" w:rsidR="00D60CC6" w:rsidRDefault="00D60CC6" w:rsidP="009E08E4">
      <w:pPr>
        <w:spacing w:after="0" w:line="240" w:lineRule="auto"/>
        <w:rPr>
          <w:rFonts w:ascii="Times New Roman" w:hAnsi="Times New Roman" w:cs="Times New Roman"/>
          <w:lang w:bidi="en-US"/>
        </w:rPr>
      </w:pPr>
    </w:p>
    <w:p w14:paraId="2F3B6D28" w14:textId="15D76011" w:rsidR="00D60CC6" w:rsidRDefault="00D60CC6" w:rsidP="009E08E4">
      <w:pPr>
        <w:spacing w:after="0" w:line="240" w:lineRule="auto"/>
        <w:rPr>
          <w:rFonts w:ascii="Times New Roman" w:hAnsi="Times New Roman" w:cs="Times New Roman"/>
          <w:lang w:bidi="en-US"/>
        </w:rPr>
      </w:pPr>
    </w:p>
    <w:p w14:paraId="028D2490" w14:textId="7BC062DE" w:rsidR="00D60CC6" w:rsidRDefault="00D60CC6" w:rsidP="009E08E4">
      <w:pPr>
        <w:spacing w:after="0" w:line="240" w:lineRule="auto"/>
        <w:rPr>
          <w:rFonts w:ascii="Times New Roman" w:hAnsi="Times New Roman" w:cs="Times New Roman"/>
          <w:lang w:bidi="en-US"/>
        </w:rPr>
      </w:pPr>
    </w:p>
    <w:p w14:paraId="1E9DC9D7" w14:textId="77F90D93" w:rsidR="00D60CC6" w:rsidRDefault="00D60CC6" w:rsidP="009E08E4">
      <w:pPr>
        <w:spacing w:after="0" w:line="240" w:lineRule="auto"/>
        <w:rPr>
          <w:rFonts w:ascii="Times New Roman" w:hAnsi="Times New Roman" w:cs="Times New Roman"/>
          <w:lang w:bidi="en-US"/>
        </w:rPr>
      </w:pPr>
    </w:p>
    <w:p w14:paraId="288AB7EA" w14:textId="6A09AE17" w:rsidR="00C36BEF" w:rsidRDefault="008149A8" w:rsidP="009E08E4">
      <w:pPr>
        <w:spacing w:after="0" w:line="240" w:lineRule="auto"/>
        <w:rPr>
          <w:rFonts w:ascii="Times New Roman" w:hAnsi="Times New Roman" w:cs="Times New Roman"/>
          <w:lang w:bidi="en-US"/>
        </w:rPr>
      </w:pPr>
      <w:r>
        <w:rPr>
          <w:noProof/>
        </w:rPr>
        <w:lastRenderedPageBreak/>
        <w:drawing>
          <wp:inline distT="0" distB="0" distL="0" distR="0" wp14:anchorId="6E3CE180" wp14:editId="78CCF616">
            <wp:extent cx="5523230" cy="5523230"/>
            <wp:effectExtent l="0" t="0" r="127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3230" cy="5523230"/>
                    </a:xfrm>
                    <a:prstGeom prst="rect">
                      <a:avLst/>
                    </a:prstGeom>
                    <a:noFill/>
                    <a:ln>
                      <a:noFill/>
                    </a:ln>
                  </pic:spPr>
                </pic:pic>
              </a:graphicData>
            </a:graphic>
          </wp:inline>
        </w:drawing>
      </w:r>
    </w:p>
    <w:p w14:paraId="367FE23A" w14:textId="2080AF8E" w:rsidR="002D492C" w:rsidRPr="00C36BEF" w:rsidRDefault="002D492C" w:rsidP="00C36BEF">
      <w:pPr>
        <w:spacing w:after="0" w:line="240" w:lineRule="auto"/>
        <w:rPr>
          <w:rFonts w:ascii="Times New Roman" w:hAnsi="Times New Roman" w:cs="Times New Roman"/>
          <w:lang w:bidi="en-US"/>
        </w:rPr>
      </w:pPr>
    </w:p>
    <w:p w14:paraId="1E6AF99A" w14:textId="54B9DEF6" w:rsidR="002D492C" w:rsidRDefault="002D492C" w:rsidP="002D492C">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 xml:space="preserve">Figure </w:t>
      </w:r>
      <w:r w:rsidR="00395412">
        <w:rPr>
          <w:rFonts w:ascii="Times New Roman" w:hAnsi="Times New Roman" w:cs="Times New Roman"/>
          <w:sz w:val="24"/>
          <w:szCs w:val="24"/>
          <w:lang w:bidi="en-US"/>
        </w:rPr>
        <w:t>2</w:t>
      </w:r>
      <w:r>
        <w:rPr>
          <w:rFonts w:ascii="Times New Roman" w:hAnsi="Times New Roman" w:cs="Times New Roman"/>
          <w:sz w:val="24"/>
          <w:szCs w:val="24"/>
          <w:lang w:bidi="en-US"/>
        </w:rPr>
        <w:t xml:space="preserve">. </w:t>
      </w:r>
      <w:r w:rsidR="00743207">
        <w:rPr>
          <w:rFonts w:ascii="Times New Roman" w:hAnsi="Times New Roman" w:cs="Times New Roman"/>
          <w:sz w:val="24"/>
          <w:szCs w:val="24"/>
          <w:lang w:bidi="en-US"/>
        </w:rPr>
        <w:t>The p</w:t>
      </w:r>
      <w:r>
        <w:rPr>
          <w:rFonts w:ascii="Times New Roman" w:hAnsi="Times New Roman" w:cs="Times New Roman"/>
          <w:sz w:val="24"/>
          <w:szCs w:val="24"/>
          <w:lang w:bidi="en-US"/>
        </w:rPr>
        <w:t xml:space="preserve">ercentage of </w:t>
      </w:r>
      <w:r w:rsidR="00AE7D4B">
        <w:rPr>
          <w:rFonts w:ascii="Times New Roman" w:hAnsi="Times New Roman" w:cs="Times New Roman"/>
          <w:sz w:val="24"/>
          <w:szCs w:val="24"/>
          <w:lang w:bidi="en-US"/>
        </w:rPr>
        <w:t xml:space="preserve">positive </w:t>
      </w:r>
      <w:r>
        <w:rPr>
          <w:rFonts w:ascii="Times New Roman" w:hAnsi="Times New Roman" w:cs="Times New Roman"/>
          <w:sz w:val="24"/>
          <w:szCs w:val="24"/>
          <w:lang w:bidi="en-US"/>
        </w:rPr>
        <w:t>days.</w:t>
      </w:r>
    </w:p>
    <w:p w14:paraId="18B4EFB0" w14:textId="77777777" w:rsidR="00C36BEF" w:rsidRDefault="00C36BEF" w:rsidP="002D492C">
      <w:pPr>
        <w:spacing w:after="0" w:line="480" w:lineRule="auto"/>
        <w:ind w:firstLine="720"/>
        <w:rPr>
          <w:rFonts w:ascii="Times New Roman" w:hAnsi="Times New Roman" w:cs="Times New Roman"/>
          <w:sz w:val="24"/>
          <w:szCs w:val="24"/>
          <w:lang w:bidi="en-US"/>
        </w:rPr>
      </w:pPr>
    </w:p>
    <w:p w14:paraId="760678B8" w14:textId="77777777" w:rsidR="002D492C" w:rsidRDefault="002D492C" w:rsidP="00C42B5A">
      <w:pPr>
        <w:spacing w:after="0" w:line="480" w:lineRule="auto"/>
        <w:rPr>
          <w:rFonts w:ascii="Times New Roman" w:hAnsi="Times New Roman" w:cs="Times New Roman"/>
          <w:sz w:val="24"/>
          <w:szCs w:val="24"/>
        </w:rPr>
      </w:pPr>
    </w:p>
    <w:p w14:paraId="39CD992D" w14:textId="568BBB9D" w:rsidR="00A31F3E" w:rsidRPr="00412C9D" w:rsidRDefault="005164AC" w:rsidP="00670A88">
      <w:pPr>
        <w:spacing w:after="0" w:line="480" w:lineRule="auto"/>
        <w:rPr>
          <w:rFonts w:ascii="Times New Roman" w:hAnsi="Times New Roman" w:cs="Times New Roman"/>
          <w:b/>
          <w:sz w:val="24"/>
          <w:szCs w:val="24"/>
        </w:rPr>
      </w:pPr>
      <w:r>
        <w:rPr>
          <w:rFonts w:ascii="Times New Roman" w:hAnsi="Times New Roman" w:cs="Times New Roman"/>
          <w:b/>
          <w:sz w:val="24"/>
          <w:szCs w:val="24"/>
        </w:rPr>
        <w:t>5</w:t>
      </w:r>
      <w:r w:rsidR="00412C9D">
        <w:rPr>
          <w:rFonts w:ascii="Times New Roman" w:hAnsi="Times New Roman" w:cs="Times New Roman"/>
          <w:b/>
          <w:sz w:val="24"/>
          <w:szCs w:val="24"/>
        </w:rPr>
        <w:t xml:space="preserve">. </w:t>
      </w:r>
      <w:r w:rsidR="00A31F3E" w:rsidRPr="00412C9D">
        <w:rPr>
          <w:rFonts w:ascii="Times New Roman" w:hAnsi="Times New Roman" w:cs="Times New Roman"/>
          <w:b/>
          <w:sz w:val="24"/>
          <w:szCs w:val="24"/>
        </w:rPr>
        <w:t>Results</w:t>
      </w:r>
    </w:p>
    <w:p w14:paraId="25A96E92" w14:textId="2C7E8583" w:rsidR="00993FF3" w:rsidRDefault="00B1692D" w:rsidP="00513D4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03533">
        <w:rPr>
          <w:rFonts w:ascii="Times New Roman" w:hAnsi="Times New Roman" w:cs="Times New Roman"/>
          <w:sz w:val="24"/>
          <w:szCs w:val="24"/>
        </w:rPr>
        <w:t>Looking first at the accuracy for predicting PBW, r</w:t>
      </w:r>
      <w:r>
        <w:rPr>
          <w:rFonts w:ascii="Times New Roman" w:hAnsi="Times New Roman" w:cs="Times New Roman"/>
          <w:sz w:val="24"/>
          <w:szCs w:val="24"/>
        </w:rPr>
        <w:t xml:space="preserve">andom forests, </w:t>
      </w:r>
      <w:r w:rsidR="00EC5870">
        <w:rPr>
          <w:rFonts w:ascii="Times New Roman" w:hAnsi="Times New Roman" w:cs="Times New Roman"/>
          <w:sz w:val="24"/>
          <w:szCs w:val="24"/>
        </w:rPr>
        <w:t>stochastic gradient boosting</w:t>
      </w:r>
      <w:r w:rsidRPr="00F03533">
        <w:rPr>
          <w:rFonts w:ascii="Times New Roman" w:hAnsi="Times New Roman" w:cs="Times New Roman"/>
          <w:sz w:val="24"/>
          <w:szCs w:val="24"/>
        </w:rPr>
        <w:t xml:space="preserve">, </w:t>
      </w:r>
      <w:r>
        <w:rPr>
          <w:rFonts w:ascii="Times New Roman" w:hAnsi="Times New Roman" w:cs="Times New Roman"/>
          <w:sz w:val="24"/>
          <w:szCs w:val="24"/>
        </w:rPr>
        <w:t xml:space="preserve">extremely randomized trees </w:t>
      </w:r>
      <w:r w:rsidR="00B52A75">
        <w:rPr>
          <w:rFonts w:ascii="Times New Roman" w:hAnsi="Times New Roman" w:cs="Times New Roman"/>
          <w:sz w:val="24"/>
          <w:szCs w:val="24"/>
        </w:rPr>
        <w:t xml:space="preserve">and SVM </w:t>
      </w:r>
      <w:r>
        <w:rPr>
          <w:rFonts w:ascii="Times New Roman" w:hAnsi="Times New Roman" w:cs="Times New Roman"/>
          <w:sz w:val="24"/>
          <w:szCs w:val="24"/>
        </w:rPr>
        <w:t xml:space="preserve">produce higher </w:t>
      </w:r>
      <w:r w:rsidR="00787436">
        <w:rPr>
          <w:rFonts w:ascii="Times New Roman" w:hAnsi="Times New Roman" w:cs="Times New Roman"/>
          <w:sz w:val="24"/>
          <w:szCs w:val="24"/>
        </w:rPr>
        <w:t xml:space="preserve">prediction </w:t>
      </w:r>
      <w:r>
        <w:rPr>
          <w:rFonts w:ascii="Times New Roman" w:hAnsi="Times New Roman" w:cs="Times New Roman"/>
          <w:sz w:val="24"/>
          <w:szCs w:val="24"/>
        </w:rPr>
        <w:t xml:space="preserve">accuracy than </w:t>
      </w:r>
      <w:r w:rsidR="00F03533">
        <w:rPr>
          <w:rFonts w:ascii="Times New Roman" w:hAnsi="Times New Roman" w:cs="Times New Roman"/>
          <w:sz w:val="24"/>
          <w:szCs w:val="24"/>
        </w:rPr>
        <w:t xml:space="preserve">Lasso or </w:t>
      </w:r>
      <w:r w:rsidR="00AE4EE0">
        <w:rPr>
          <w:rFonts w:ascii="Times New Roman" w:hAnsi="Times New Roman" w:cs="Times New Roman"/>
          <w:sz w:val="24"/>
          <w:szCs w:val="24"/>
        </w:rPr>
        <w:t xml:space="preserve">the </w:t>
      </w:r>
      <w:r w:rsidR="00F03533">
        <w:rPr>
          <w:rFonts w:ascii="Times New Roman" w:hAnsi="Times New Roman" w:cs="Times New Roman"/>
          <w:sz w:val="24"/>
          <w:szCs w:val="24"/>
        </w:rPr>
        <w:t xml:space="preserve">Naïve Bayes </w:t>
      </w:r>
      <w:r>
        <w:rPr>
          <w:rFonts w:ascii="Times New Roman" w:hAnsi="Times New Roman" w:cs="Times New Roman"/>
          <w:sz w:val="24"/>
          <w:szCs w:val="24"/>
        </w:rPr>
        <w:t xml:space="preserve">models (Figure </w:t>
      </w:r>
      <w:r w:rsidR="008534C7">
        <w:rPr>
          <w:rFonts w:ascii="Times New Roman" w:hAnsi="Times New Roman" w:cs="Times New Roman"/>
          <w:sz w:val="24"/>
          <w:szCs w:val="24"/>
        </w:rPr>
        <w:t>3</w:t>
      </w:r>
      <w:r>
        <w:rPr>
          <w:rFonts w:ascii="Times New Roman" w:hAnsi="Times New Roman" w:cs="Times New Roman"/>
          <w:sz w:val="24"/>
          <w:szCs w:val="24"/>
        </w:rPr>
        <w:t xml:space="preserve">). </w:t>
      </w:r>
      <w:r w:rsidR="00305BE2">
        <w:rPr>
          <w:rFonts w:ascii="Times New Roman" w:hAnsi="Times New Roman" w:cs="Times New Roman"/>
          <w:sz w:val="24"/>
          <w:szCs w:val="24"/>
        </w:rPr>
        <w:t>The prediction accuracy of random forests</w:t>
      </w:r>
      <w:r w:rsidR="00EC5870">
        <w:rPr>
          <w:rFonts w:ascii="Times New Roman" w:hAnsi="Times New Roman" w:cs="Times New Roman"/>
          <w:sz w:val="24"/>
          <w:szCs w:val="24"/>
        </w:rPr>
        <w:t xml:space="preserve"> (RF)</w:t>
      </w:r>
      <w:r w:rsidR="00305BE2">
        <w:rPr>
          <w:rFonts w:ascii="Times New Roman" w:hAnsi="Times New Roman" w:cs="Times New Roman"/>
          <w:sz w:val="24"/>
          <w:szCs w:val="24"/>
        </w:rPr>
        <w:t xml:space="preserve">, </w:t>
      </w:r>
      <w:r w:rsidR="00EC5870">
        <w:rPr>
          <w:rFonts w:ascii="Times New Roman" w:hAnsi="Times New Roman" w:cs="Times New Roman"/>
          <w:sz w:val="24"/>
          <w:szCs w:val="24"/>
        </w:rPr>
        <w:lastRenderedPageBreak/>
        <w:t>stochastic gradient boosting</w:t>
      </w:r>
      <w:r w:rsidR="009E68A8">
        <w:rPr>
          <w:rFonts w:ascii="Times New Roman" w:hAnsi="Times New Roman" w:cs="Times New Roman"/>
          <w:sz w:val="24"/>
          <w:szCs w:val="24"/>
        </w:rPr>
        <w:t xml:space="preserve"> model</w:t>
      </w:r>
      <w:r w:rsidR="00EC5870">
        <w:rPr>
          <w:rFonts w:ascii="Times New Roman" w:hAnsi="Times New Roman" w:cs="Times New Roman"/>
          <w:sz w:val="24"/>
          <w:szCs w:val="24"/>
        </w:rPr>
        <w:t xml:space="preserve"> (GBM)</w:t>
      </w:r>
      <w:r w:rsidR="00305BE2" w:rsidRPr="00F03533">
        <w:rPr>
          <w:rFonts w:ascii="Times New Roman" w:hAnsi="Times New Roman" w:cs="Times New Roman"/>
          <w:sz w:val="24"/>
          <w:szCs w:val="24"/>
        </w:rPr>
        <w:t xml:space="preserve">, </w:t>
      </w:r>
      <w:r w:rsidR="00305BE2" w:rsidRPr="00F03533">
        <w:rPr>
          <w:rStyle w:val="Hyperlink"/>
          <w:rFonts w:ascii="Times New Roman" w:hAnsi="Times New Roman" w:cs="Times New Roman"/>
          <w:color w:val="auto"/>
          <w:sz w:val="24"/>
          <w:szCs w:val="24"/>
          <w:u w:val="none"/>
        </w:rPr>
        <w:t>SVM</w:t>
      </w:r>
      <w:r w:rsidR="00305BE2" w:rsidRPr="00F03533">
        <w:rPr>
          <w:rFonts w:ascii="Times New Roman" w:hAnsi="Times New Roman" w:cs="Times New Roman"/>
          <w:sz w:val="24"/>
          <w:szCs w:val="24"/>
        </w:rPr>
        <w:t xml:space="preserve">, and </w:t>
      </w:r>
      <w:r w:rsidR="00305BE2">
        <w:rPr>
          <w:rFonts w:ascii="Times New Roman" w:hAnsi="Times New Roman" w:cs="Times New Roman"/>
          <w:sz w:val="24"/>
          <w:szCs w:val="24"/>
        </w:rPr>
        <w:t xml:space="preserve">extremely randomized trees </w:t>
      </w:r>
      <w:r w:rsidR="00EC5870">
        <w:rPr>
          <w:rFonts w:ascii="Times New Roman" w:hAnsi="Times New Roman" w:cs="Times New Roman"/>
          <w:sz w:val="24"/>
          <w:szCs w:val="24"/>
        </w:rPr>
        <w:t xml:space="preserve">(Extra Trees) </w:t>
      </w:r>
      <w:r w:rsidR="00305BE2">
        <w:rPr>
          <w:rFonts w:ascii="Times New Roman" w:hAnsi="Times New Roman" w:cs="Times New Roman"/>
          <w:sz w:val="24"/>
          <w:szCs w:val="24"/>
        </w:rPr>
        <w:t xml:space="preserve">increases quickly up to eight days. After 10 days the accuracy of random forests, </w:t>
      </w:r>
      <w:r w:rsidR="00EC5870">
        <w:rPr>
          <w:rFonts w:ascii="Times New Roman" w:hAnsi="Times New Roman" w:cs="Times New Roman"/>
          <w:sz w:val="24"/>
          <w:szCs w:val="24"/>
        </w:rPr>
        <w:t>GBM</w:t>
      </w:r>
      <w:r w:rsidR="00305BE2" w:rsidRPr="00F03533">
        <w:rPr>
          <w:rFonts w:ascii="Times New Roman" w:hAnsi="Times New Roman" w:cs="Times New Roman"/>
          <w:sz w:val="24"/>
          <w:szCs w:val="24"/>
        </w:rPr>
        <w:t xml:space="preserve">, </w:t>
      </w:r>
      <w:r w:rsidR="00305BE2" w:rsidRPr="00F03533">
        <w:rPr>
          <w:rStyle w:val="Hyperlink"/>
          <w:rFonts w:ascii="Times New Roman" w:hAnsi="Times New Roman" w:cs="Times New Roman"/>
          <w:color w:val="auto"/>
          <w:sz w:val="24"/>
          <w:szCs w:val="24"/>
          <w:u w:val="none"/>
        </w:rPr>
        <w:t>SVM</w:t>
      </w:r>
      <w:r w:rsidR="00305BE2" w:rsidRPr="00F03533">
        <w:rPr>
          <w:rFonts w:ascii="Times New Roman" w:hAnsi="Times New Roman" w:cs="Times New Roman"/>
          <w:sz w:val="24"/>
          <w:szCs w:val="24"/>
        </w:rPr>
        <w:t xml:space="preserve">, and </w:t>
      </w:r>
      <w:r w:rsidR="00743207">
        <w:rPr>
          <w:rFonts w:ascii="Times New Roman" w:hAnsi="Times New Roman" w:cs="Times New Roman"/>
          <w:sz w:val="24"/>
          <w:szCs w:val="24"/>
        </w:rPr>
        <w:t>Extra Trees</w:t>
      </w:r>
      <w:r w:rsidR="00305BE2">
        <w:rPr>
          <w:rFonts w:ascii="Times New Roman" w:hAnsi="Times New Roman" w:cs="Times New Roman"/>
          <w:sz w:val="24"/>
          <w:szCs w:val="24"/>
        </w:rPr>
        <w:t xml:space="preserve"> is over 80%. Between 15 and 20 days, random forests, </w:t>
      </w:r>
      <w:r w:rsidR="00EC5870">
        <w:rPr>
          <w:rFonts w:ascii="Times New Roman" w:hAnsi="Times New Roman" w:cs="Times New Roman"/>
          <w:sz w:val="24"/>
          <w:szCs w:val="24"/>
        </w:rPr>
        <w:t>GBM</w:t>
      </w:r>
      <w:r w:rsidR="00305BE2" w:rsidRPr="00F03533">
        <w:rPr>
          <w:rFonts w:ascii="Times New Roman" w:hAnsi="Times New Roman" w:cs="Times New Roman"/>
          <w:sz w:val="24"/>
          <w:szCs w:val="24"/>
        </w:rPr>
        <w:t xml:space="preserve">, and </w:t>
      </w:r>
      <w:r w:rsidR="00305BE2">
        <w:rPr>
          <w:rFonts w:ascii="Times New Roman" w:hAnsi="Times New Roman" w:cs="Times New Roman"/>
          <w:sz w:val="24"/>
          <w:szCs w:val="24"/>
        </w:rPr>
        <w:t xml:space="preserve">extremely randomized trees obtain accuracies of 90% or </w:t>
      </w:r>
      <w:r w:rsidR="008534C7">
        <w:rPr>
          <w:rFonts w:ascii="Times New Roman" w:hAnsi="Times New Roman" w:cs="Times New Roman"/>
          <w:sz w:val="24"/>
          <w:szCs w:val="24"/>
        </w:rPr>
        <w:t xml:space="preserve">in some cases </w:t>
      </w:r>
      <w:r w:rsidR="00305BE2">
        <w:rPr>
          <w:rFonts w:ascii="Times New Roman" w:hAnsi="Times New Roman" w:cs="Times New Roman"/>
          <w:sz w:val="24"/>
          <w:szCs w:val="24"/>
        </w:rPr>
        <w:t>slightly greater. The pattern of accuracy observed for PBW across the number of days</w:t>
      </w:r>
      <w:r w:rsidR="004D3618">
        <w:rPr>
          <w:rFonts w:ascii="Times New Roman" w:hAnsi="Times New Roman" w:cs="Times New Roman"/>
          <w:sz w:val="24"/>
          <w:szCs w:val="24"/>
        </w:rPr>
        <w:t xml:space="preserve"> forecast</w:t>
      </w:r>
      <w:r w:rsidR="00305BE2">
        <w:rPr>
          <w:rFonts w:ascii="Times New Roman" w:hAnsi="Times New Roman" w:cs="Times New Roman"/>
          <w:sz w:val="24"/>
          <w:szCs w:val="24"/>
        </w:rPr>
        <w:t xml:space="preserve"> is </w:t>
      </w:r>
      <w:proofErr w:type="gramStart"/>
      <w:r w:rsidR="00305BE2">
        <w:rPr>
          <w:rFonts w:ascii="Times New Roman" w:hAnsi="Times New Roman" w:cs="Times New Roman"/>
          <w:sz w:val="24"/>
          <w:szCs w:val="24"/>
        </w:rPr>
        <w:t xml:space="preserve">similar </w:t>
      </w:r>
      <w:r w:rsidR="008534C7">
        <w:rPr>
          <w:rFonts w:ascii="Times New Roman" w:hAnsi="Times New Roman" w:cs="Times New Roman"/>
          <w:sz w:val="24"/>
          <w:szCs w:val="24"/>
        </w:rPr>
        <w:t>to</w:t>
      </w:r>
      <w:proofErr w:type="gramEnd"/>
      <w:r w:rsidR="008534C7">
        <w:rPr>
          <w:rFonts w:ascii="Times New Roman" w:hAnsi="Times New Roman" w:cs="Times New Roman"/>
          <w:sz w:val="24"/>
          <w:szCs w:val="24"/>
        </w:rPr>
        <w:t xml:space="preserve"> that of</w:t>
      </w:r>
      <w:r w:rsidR="00305BE2">
        <w:rPr>
          <w:rFonts w:ascii="Times New Roman" w:hAnsi="Times New Roman" w:cs="Times New Roman"/>
          <w:sz w:val="24"/>
          <w:szCs w:val="24"/>
        </w:rPr>
        <w:t xml:space="preserve"> ICLN and QCLN. Overall, random forests, </w:t>
      </w:r>
      <w:r w:rsidR="00EC5870">
        <w:rPr>
          <w:rFonts w:ascii="Times New Roman" w:hAnsi="Times New Roman" w:cs="Times New Roman"/>
          <w:sz w:val="24"/>
          <w:szCs w:val="24"/>
        </w:rPr>
        <w:t>GBM</w:t>
      </w:r>
      <w:r w:rsidR="00305BE2">
        <w:rPr>
          <w:rFonts w:ascii="Times New Roman" w:hAnsi="Times New Roman" w:cs="Times New Roman"/>
          <w:sz w:val="24"/>
          <w:szCs w:val="24"/>
        </w:rPr>
        <w:t xml:space="preserve">, and </w:t>
      </w:r>
      <w:r w:rsidR="00743207">
        <w:rPr>
          <w:rFonts w:ascii="Times New Roman" w:hAnsi="Times New Roman" w:cs="Times New Roman"/>
          <w:sz w:val="24"/>
          <w:szCs w:val="24"/>
        </w:rPr>
        <w:t>Extra Trees</w:t>
      </w:r>
      <w:r w:rsidR="00305BE2" w:rsidRPr="00305BE2">
        <w:rPr>
          <w:rFonts w:ascii="Times New Roman" w:hAnsi="Times New Roman" w:cs="Times New Roman"/>
          <w:sz w:val="24"/>
          <w:szCs w:val="24"/>
        </w:rPr>
        <w:t xml:space="preserve"> have the highest accuracy followed by SVM, Lasso, and Naïve Bayes. </w:t>
      </w:r>
      <w:r w:rsidR="002C6D56" w:rsidRPr="00305BE2">
        <w:rPr>
          <w:rStyle w:val="Hyperlink"/>
          <w:rFonts w:ascii="Times New Roman" w:hAnsi="Times New Roman" w:cs="Times New Roman"/>
          <w:color w:val="auto"/>
          <w:sz w:val="24"/>
          <w:szCs w:val="24"/>
          <w:u w:val="none"/>
        </w:rPr>
        <w:t xml:space="preserve">These results </w:t>
      </w:r>
      <w:r w:rsidR="00305BE2">
        <w:rPr>
          <w:rStyle w:val="Hyperlink"/>
          <w:rFonts w:ascii="Times New Roman" w:hAnsi="Times New Roman" w:cs="Times New Roman"/>
          <w:color w:val="auto"/>
          <w:sz w:val="24"/>
          <w:szCs w:val="24"/>
          <w:u w:val="none"/>
        </w:rPr>
        <w:t xml:space="preserve">are </w:t>
      </w:r>
      <w:r w:rsidR="002C6D56" w:rsidRPr="00305BE2">
        <w:rPr>
          <w:rStyle w:val="Hyperlink"/>
          <w:rFonts w:ascii="Times New Roman" w:hAnsi="Times New Roman" w:cs="Times New Roman"/>
          <w:color w:val="auto"/>
          <w:sz w:val="24"/>
          <w:szCs w:val="24"/>
          <w:u w:val="none"/>
        </w:rPr>
        <w:t>support</w:t>
      </w:r>
      <w:r w:rsidR="00305BE2">
        <w:rPr>
          <w:rStyle w:val="Hyperlink"/>
          <w:rFonts w:ascii="Times New Roman" w:hAnsi="Times New Roman" w:cs="Times New Roman"/>
          <w:color w:val="auto"/>
          <w:sz w:val="24"/>
          <w:szCs w:val="24"/>
          <w:u w:val="none"/>
        </w:rPr>
        <w:t>ive of</w:t>
      </w:r>
      <w:r w:rsidR="002C6D56" w:rsidRPr="00305BE2">
        <w:rPr>
          <w:rStyle w:val="Hyperlink"/>
          <w:rFonts w:ascii="Times New Roman" w:hAnsi="Times New Roman" w:cs="Times New Roman"/>
          <w:color w:val="auto"/>
          <w:sz w:val="24"/>
          <w:szCs w:val="24"/>
          <w:u w:val="none"/>
        </w:rPr>
        <w:t xml:space="preserve"> </w:t>
      </w:r>
      <w:r w:rsidR="00305BE2">
        <w:rPr>
          <w:rStyle w:val="Hyperlink"/>
          <w:rFonts w:ascii="Times New Roman" w:hAnsi="Times New Roman" w:cs="Times New Roman"/>
          <w:color w:val="auto"/>
          <w:sz w:val="24"/>
          <w:szCs w:val="24"/>
          <w:u w:val="none"/>
        </w:rPr>
        <w:t xml:space="preserve">the findings </w:t>
      </w:r>
      <w:r w:rsidR="00743207">
        <w:rPr>
          <w:rStyle w:val="Hyperlink"/>
          <w:rFonts w:ascii="Times New Roman" w:hAnsi="Times New Roman" w:cs="Times New Roman"/>
          <w:color w:val="auto"/>
          <w:sz w:val="24"/>
          <w:szCs w:val="24"/>
          <w:u w:val="none"/>
        </w:rPr>
        <w:t>by</w:t>
      </w:r>
      <w:r w:rsidR="00305BE2">
        <w:rPr>
          <w:rStyle w:val="Hyperlink"/>
          <w:rFonts w:ascii="Times New Roman" w:hAnsi="Times New Roman" w:cs="Times New Roman"/>
          <w:color w:val="auto"/>
          <w:sz w:val="24"/>
          <w:szCs w:val="24"/>
          <w:u w:val="none"/>
        </w:rPr>
        <w:t xml:space="preserve"> </w:t>
      </w:r>
      <w:r w:rsidR="002C6D56" w:rsidRPr="00305BE2">
        <w:rPr>
          <w:rStyle w:val="Hyperlink"/>
          <w:rFonts w:ascii="Times New Roman" w:hAnsi="Times New Roman" w:cs="Times New Roman"/>
          <w:color w:val="auto"/>
          <w:sz w:val="24"/>
          <w:szCs w:val="24"/>
          <w:u w:val="none"/>
        </w:rPr>
        <w:t xml:space="preserve">Sadorsky </w:t>
      </w:r>
      <w:r w:rsidR="002C6D56" w:rsidRPr="00305BE2">
        <w:rPr>
          <w:rStyle w:val="Hyperlink"/>
          <w:rFonts w:ascii="Times New Roman" w:hAnsi="Times New Roman" w:cs="Times New Roman"/>
          <w:color w:val="auto"/>
          <w:sz w:val="24"/>
          <w:szCs w:val="24"/>
          <w:u w:val="none"/>
        </w:rPr>
        <w:fldChar w:fldCharType="begin"/>
      </w:r>
      <w:r w:rsidR="002A666A">
        <w:rPr>
          <w:rStyle w:val="Hyperlink"/>
          <w:rFonts w:ascii="Times New Roman" w:hAnsi="Times New Roman" w:cs="Times New Roman"/>
          <w:color w:val="auto"/>
          <w:sz w:val="24"/>
          <w:szCs w:val="24"/>
          <w:u w:val="none"/>
        </w:rPr>
        <w:instrText xml:space="preserve"> ADDIN ZOTERO_ITEM CSL_CITATION {"citationID":"SA5u158X","properties":{"formattedCitation":"(2021a)","plainCitation":"(2021a)","noteIndex":0},"citationItems":[{"id":2785,"uris":["http://zotero.org/users/5823779/items/YVFWXLX9"],"itemData":{"id":2785,"type":"article-journal","abstract":"Climate change, green consumers, energy security, fossil fuel divestment, and technological innovation are powerful forces shaping an increased interest towards investing in companies that specialize in clean energy. Well informed investors need reliable methods for predicting the stock prices of clean energy companies. While the existing literature on forecasting stock prices shows how difficult it is to predict stock prices, there is evidence that predicting stock price direction is more successful than predicting actual stock prices. This paper uses the machine learning method of random forests to predict the stock price direction of clean energy exchange traded funds. Some well-known technical indicators are used as features. Decision tree bagging and random forests predictions of stock price direction are more accurate than those obtained from logit models. For a 20-day forecast horizon, tree bagging and random forests methods produce accuracy rates of between 85% and 90% while logit models produce accuracy rates of between 55% and 60%. Tree bagging and random forests are easy to understand and estimate and are useful methods for forecasting the stock price direction of clean energy stocks.","container-title":"Journal of Risk and Financial Management","DOI":"10.3390/jrfm14020048","issue":"2","language":"en","note":"number: 2\npublisher: Multidisciplinary Digital Publishing Institute","page":"48","source":"www.mdpi.com","title":"A Random Forests Approach to Predicting Clean Energy Stock Prices","volume":"14","author":[{"family":"Sadorsky","given":"Perry"}],"issued":{"date-parts":[["2021",2]]}},"suppress-author":true}],"schema":"https://github.com/citation-style-language/schema/raw/master/csl-citation.json"} </w:instrText>
      </w:r>
      <w:r w:rsidR="002C6D56" w:rsidRPr="00305BE2">
        <w:rPr>
          <w:rStyle w:val="Hyperlink"/>
          <w:rFonts w:ascii="Times New Roman" w:hAnsi="Times New Roman" w:cs="Times New Roman"/>
          <w:color w:val="auto"/>
          <w:sz w:val="24"/>
          <w:szCs w:val="24"/>
          <w:u w:val="none"/>
        </w:rPr>
        <w:fldChar w:fldCharType="separate"/>
      </w:r>
      <w:r w:rsidR="00F31A70" w:rsidRPr="00F31A70">
        <w:rPr>
          <w:rFonts w:ascii="Times New Roman" w:hAnsi="Times New Roman" w:cs="Times New Roman"/>
          <w:sz w:val="24"/>
        </w:rPr>
        <w:t>(2021a)</w:t>
      </w:r>
      <w:r w:rsidR="002C6D56" w:rsidRPr="00305BE2">
        <w:rPr>
          <w:rStyle w:val="Hyperlink"/>
          <w:rFonts w:ascii="Times New Roman" w:hAnsi="Times New Roman" w:cs="Times New Roman"/>
          <w:color w:val="auto"/>
          <w:sz w:val="24"/>
          <w:szCs w:val="24"/>
          <w:u w:val="none"/>
        </w:rPr>
        <w:fldChar w:fldCharType="end"/>
      </w:r>
      <w:r w:rsidR="002C6D56" w:rsidRPr="00305BE2">
        <w:rPr>
          <w:rStyle w:val="Hyperlink"/>
          <w:rFonts w:ascii="Times New Roman" w:hAnsi="Times New Roman" w:cs="Times New Roman"/>
          <w:color w:val="auto"/>
          <w:sz w:val="24"/>
          <w:szCs w:val="24"/>
          <w:u w:val="none"/>
        </w:rPr>
        <w:t xml:space="preserve"> who finds that random forests have high accuracy for predicting </w:t>
      </w:r>
      <w:r w:rsidR="00B52A75">
        <w:rPr>
          <w:rStyle w:val="Hyperlink"/>
          <w:rFonts w:ascii="Times New Roman" w:hAnsi="Times New Roman" w:cs="Times New Roman"/>
          <w:color w:val="auto"/>
          <w:sz w:val="24"/>
          <w:szCs w:val="24"/>
          <w:u w:val="none"/>
        </w:rPr>
        <w:t xml:space="preserve">the </w:t>
      </w:r>
      <w:r w:rsidR="00743207">
        <w:rPr>
          <w:rStyle w:val="Hyperlink"/>
          <w:rFonts w:ascii="Times New Roman" w:hAnsi="Times New Roman" w:cs="Times New Roman"/>
          <w:color w:val="auto"/>
          <w:sz w:val="24"/>
          <w:szCs w:val="24"/>
          <w:u w:val="none"/>
        </w:rPr>
        <w:t xml:space="preserve">price </w:t>
      </w:r>
      <w:r w:rsidR="002C6D56" w:rsidRPr="00305BE2">
        <w:rPr>
          <w:rStyle w:val="Hyperlink"/>
          <w:rFonts w:ascii="Times New Roman" w:hAnsi="Times New Roman" w:cs="Times New Roman"/>
          <w:color w:val="auto"/>
          <w:sz w:val="24"/>
          <w:szCs w:val="24"/>
          <w:u w:val="none"/>
        </w:rPr>
        <w:t>direction</w:t>
      </w:r>
      <w:r w:rsidR="00B52A75">
        <w:rPr>
          <w:rStyle w:val="Hyperlink"/>
          <w:rFonts w:ascii="Times New Roman" w:hAnsi="Times New Roman" w:cs="Times New Roman"/>
          <w:color w:val="auto"/>
          <w:sz w:val="24"/>
          <w:szCs w:val="24"/>
          <w:u w:val="none"/>
        </w:rPr>
        <w:t xml:space="preserve"> of </w:t>
      </w:r>
      <w:r w:rsidR="00B52A75" w:rsidRPr="00305BE2">
        <w:rPr>
          <w:rStyle w:val="Hyperlink"/>
          <w:rFonts w:ascii="Times New Roman" w:hAnsi="Times New Roman" w:cs="Times New Roman"/>
          <w:color w:val="auto"/>
          <w:sz w:val="24"/>
          <w:szCs w:val="24"/>
          <w:u w:val="none"/>
        </w:rPr>
        <w:t>clean energy ETF</w:t>
      </w:r>
      <w:r w:rsidR="00B52A75">
        <w:rPr>
          <w:rStyle w:val="Hyperlink"/>
          <w:rFonts w:ascii="Times New Roman" w:hAnsi="Times New Roman" w:cs="Times New Roman"/>
          <w:color w:val="auto"/>
          <w:sz w:val="24"/>
          <w:szCs w:val="24"/>
          <w:u w:val="none"/>
        </w:rPr>
        <w:t>s</w:t>
      </w:r>
      <w:r w:rsidR="00305BE2" w:rsidRPr="00305BE2">
        <w:rPr>
          <w:rStyle w:val="Hyperlink"/>
          <w:rFonts w:ascii="Times New Roman" w:hAnsi="Times New Roman" w:cs="Times New Roman"/>
          <w:color w:val="auto"/>
          <w:sz w:val="24"/>
          <w:szCs w:val="24"/>
          <w:u w:val="none"/>
        </w:rPr>
        <w:t xml:space="preserve">. </w:t>
      </w:r>
      <w:bookmarkStart w:id="3" w:name="_Hlk97717978"/>
    </w:p>
    <w:bookmarkEnd w:id="3"/>
    <w:p w14:paraId="5B66A8C7" w14:textId="7E15A00B" w:rsidR="008A0B1B" w:rsidRDefault="00EC5870" w:rsidP="00513D4B">
      <w:pPr>
        <w:spacing w:after="0" w:line="480" w:lineRule="auto"/>
        <w:rPr>
          <w:rFonts w:ascii="Times New Roman" w:hAnsi="Times New Roman" w:cs="Times New Roman"/>
          <w:sz w:val="24"/>
          <w:szCs w:val="24"/>
        </w:rPr>
      </w:pPr>
      <w:r>
        <w:rPr>
          <w:noProof/>
        </w:rPr>
        <w:lastRenderedPageBreak/>
        <w:drawing>
          <wp:inline distT="0" distB="0" distL="0" distR="0" wp14:anchorId="6EBE1F16" wp14:editId="5FE5630C">
            <wp:extent cx="5526405" cy="5716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6405" cy="5716905"/>
                    </a:xfrm>
                    <a:prstGeom prst="rect">
                      <a:avLst/>
                    </a:prstGeom>
                    <a:noFill/>
                    <a:ln>
                      <a:noFill/>
                    </a:ln>
                  </pic:spPr>
                </pic:pic>
              </a:graphicData>
            </a:graphic>
          </wp:inline>
        </w:drawing>
      </w:r>
    </w:p>
    <w:p w14:paraId="564F4905" w14:textId="772EC3C7" w:rsidR="001732E5" w:rsidRDefault="001732E5" w:rsidP="001732E5">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 xml:space="preserve">Figure </w:t>
      </w:r>
      <w:r w:rsidR="00EA6BC3">
        <w:rPr>
          <w:rFonts w:ascii="Times New Roman" w:hAnsi="Times New Roman" w:cs="Times New Roman"/>
          <w:sz w:val="24"/>
          <w:szCs w:val="24"/>
          <w:lang w:bidi="en-US"/>
        </w:rPr>
        <w:t>3</w:t>
      </w:r>
      <w:r>
        <w:rPr>
          <w:rFonts w:ascii="Times New Roman" w:hAnsi="Times New Roman" w:cs="Times New Roman"/>
          <w:sz w:val="24"/>
          <w:szCs w:val="24"/>
          <w:lang w:bidi="en-US"/>
        </w:rPr>
        <w:t xml:space="preserve">. </w:t>
      </w:r>
      <w:r w:rsidR="00D25D6E">
        <w:rPr>
          <w:rFonts w:ascii="Times New Roman" w:hAnsi="Times New Roman" w:cs="Times New Roman"/>
          <w:sz w:val="24"/>
          <w:szCs w:val="24"/>
          <w:lang w:bidi="en-US"/>
        </w:rPr>
        <w:t>P</w:t>
      </w:r>
      <w:r w:rsidR="009D5145">
        <w:rPr>
          <w:rFonts w:ascii="Times New Roman" w:hAnsi="Times New Roman" w:cs="Times New Roman"/>
          <w:sz w:val="24"/>
          <w:szCs w:val="24"/>
          <w:lang w:bidi="en-US"/>
        </w:rPr>
        <w:t xml:space="preserve">rediction </w:t>
      </w:r>
      <w:r>
        <w:rPr>
          <w:rFonts w:ascii="Times New Roman" w:hAnsi="Times New Roman" w:cs="Times New Roman"/>
          <w:sz w:val="24"/>
          <w:szCs w:val="24"/>
          <w:lang w:bidi="en-US"/>
        </w:rPr>
        <w:t>accuracy.</w:t>
      </w:r>
    </w:p>
    <w:p w14:paraId="79310253" w14:textId="3E3C1082" w:rsidR="001732E5" w:rsidRDefault="001732E5" w:rsidP="00513D4B">
      <w:pPr>
        <w:spacing w:after="0" w:line="480" w:lineRule="auto"/>
        <w:rPr>
          <w:rFonts w:ascii="Times New Roman" w:hAnsi="Times New Roman" w:cs="Times New Roman"/>
          <w:sz w:val="24"/>
          <w:szCs w:val="24"/>
        </w:rPr>
      </w:pPr>
    </w:p>
    <w:p w14:paraId="606E8A55" w14:textId="7A998DD9" w:rsidR="00B43C3A" w:rsidRDefault="00B43C3A" w:rsidP="00B43C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pattern of kappa (Figure 4) is </w:t>
      </w:r>
      <w:r w:rsidR="00743207">
        <w:rPr>
          <w:rFonts w:ascii="Times New Roman" w:hAnsi="Times New Roman" w:cs="Times New Roman"/>
          <w:sz w:val="24"/>
          <w:szCs w:val="24"/>
        </w:rPr>
        <w:t>like</w:t>
      </w:r>
      <w:r>
        <w:rPr>
          <w:rFonts w:ascii="Times New Roman" w:hAnsi="Times New Roman" w:cs="Times New Roman"/>
          <w:sz w:val="24"/>
          <w:szCs w:val="24"/>
        </w:rPr>
        <w:t xml:space="preserve"> that of the </w:t>
      </w:r>
      <w:r w:rsidR="00743207">
        <w:rPr>
          <w:rFonts w:ascii="Times New Roman" w:hAnsi="Times New Roman" w:cs="Times New Roman"/>
          <w:sz w:val="24"/>
          <w:szCs w:val="24"/>
        </w:rPr>
        <w:t xml:space="preserve">pattern of </w:t>
      </w:r>
      <w:r>
        <w:rPr>
          <w:rFonts w:ascii="Times New Roman" w:hAnsi="Times New Roman" w:cs="Times New Roman"/>
          <w:sz w:val="24"/>
          <w:szCs w:val="24"/>
        </w:rPr>
        <w:t xml:space="preserve">prediction accuracy </w:t>
      </w:r>
      <w:r w:rsidR="00B52A75">
        <w:rPr>
          <w:rFonts w:ascii="Times New Roman" w:hAnsi="Times New Roman" w:cs="Times New Roman"/>
          <w:sz w:val="24"/>
          <w:szCs w:val="24"/>
        </w:rPr>
        <w:t xml:space="preserve">shown in </w:t>
      </w:r>
      <w:r>
        <w:rPr>
          <w:rFonts w:ascii="Times New Roman" w:hAnsi="Times New Roman" w:cs="Times New Roman"/>
          <w:sz w:val="24"/>
          <w:szCs w:val="24"/>
        </w:rPr>
        <w:t xml:space="preserve">Figure </w:t>
      </w:r>
      <w:r w:rsidR="00B1270F">
        <w:rPr>
          <w:rFonts w:ascii="Times New Roman" w:hAnsi="Times New Roman" w:cs="Times New Roman"/>
          <w:sz w:val="24"/>
          <w:szCs w:val="24"/>
        </w:rPr>
        <w:t>3</w:t>
      </w:r>
      <w:r>
        <w:rPr>
          <w:rFonts w:ascii="Times New Roman" w:hAnsi="Times New Roman" w:cs="Times New Roman"/>
          <w:sz w:val="24"/>
          <w:szCs w:val="24"/>
        </w:rPr>
        <w:t xml:space="preserve">. Random forests, </w:t>
      </w:r>
      <w:r w:rsidR="004121B1">
        <w:rPr>
          <w:rFonts w:ascii="Times New Roman" w:hAnsi="Times New Roman" w:cs="Times New Roman"/>
          <w:sz w:val="24"/>
          <w:szCs w:val="24"/>
        </w:rPr>
        <w:t>GBM</w:t>
      </w:r>
      <w:r w:rsidRPr="0005319A">
        <w:rPr>
          <w:rFonts w:ascii="Times New Roman" w:hAnsi="Times New Roman" w:cs="Times New Roman"/>
          <w:sz w:val="24"/>
          <w:szCs w:val="24"/>
        </w:rPr>
        <w:t xml:space="preserve">, </w:t>
      </w:r>
      <w:r w:rsidRPr="0005319A">
        <w:rPr>
          <w:rStyle w:val="Hyperlink"/>
          <w:rFonts w:ascii="Times New Roman" w:hAnsi="Times New Roman" w:cs="Times New Roman"/>
          <w:color w:val="auto"/>
          <w:sz w:val="24"/>
          <w:szCs w:val="24"/>
          <w:u w:val="none"/>
        </w:rPr>
        <w:t>SVM</w:t>
      </w:r>
      <w:r w:rsidRPr="0005319A">
        <w:rPr>
          <w:rFonts w:ascii="Times New Roman" w:hAnsi="Times New Roman" w:cs="Times New Roman"/>
          <w:sz w:val="24"/>
          <w:szCs w:val="24"/>
        </w:rPr>
        <w:t xml:space="preserve">, and </w:t>
      </w:r>
      <w:r w:rsidR="00743207">
        <w:rPr>
          <w:rFonts w:ascii="Times New Roman" w:hAnsi="Times New Roman" w:cs="Times New Roman"/>
          <w:sz w:val="24"/>
          <w:szCs w:val="24"/>
        </w:rPr>
        <w:t>Extra</w:t>
      </w:r>
      <w:r>
        <w:rPr>
          <w:rFonts w:ascii="Times New Roman" w:hAnsi="Times New Roman" w:cs="Times New Roman"/>
          <w:sz w:val="24"/>
          <w:szCs w:val="24"/>
        </w:rPr>
        <w:t xml:space="preserve"> </w:t>
      </w:r>
      <w:r w:rsidR="00743207">
        <w:rPr>
          <w:rFonts w:ascii="Times New Roman" w:hAnsi="Times New Roman" w:cs="Times New Roman"/>
          <w:sz w:val="24"/>
          <w:szCs w:val="24"/>
        </w:rPr>
        <w:t>T</w:t>
      </w:r>
      <w:r>
        <w:rPr>
          <w:rFonts w:ascii="Times New Roman" w:hAnsi="Times New Roman" w:cs="Times New Roman"/>
          <w:sz w:val="24"/>
          <w:szCs w:val="24"/>
        </w:rPr>
        <w:t xml:space="preserve">rees have the highest kappa </w:t>
      </w:r>
      <w:r w:rsidR="00B1270F">
        <w:rPr>
          <w:rFonts w:ascii="Times New Roman" w:hAnsi="Times New Roman" w:cs="Times New Roman"/>
          <w:sz w:val="24"/>
          <w:szCs w:val="24"/>
        </w:rPr>
        <w:t xml:space="preserve">values </w:t>
      </w:r>
      <w:r>
        <w:rPr>
          <w:rFonts w:ascii="Times New Roman" w:hAnsi="Times New Roman" w:cs="Times New Roman"/>
          <w:sz w:val="24"/>
          <w:szCs w:val="24"/>
        </w:rPr>
        <w:t>while Lasso and Naïve Bayes have lower kappa values.</w:t>
      </w:r>
    </w:p>
    <w:p w14:paraId="63E9B6F0" w14:textId="77777777" w:rsidR="00B43C3A" w:rsidRDefault="00B43C3A" w:rsidP="00B43C3A">
      <w:pPr>
        <w:spacing w:after="0" w:line="480" w:lineRule="auto"/>
        <w:rPr>
          <w:rFonts w:ascii="Times New Roman" w:hAnsi="Times New Roman" w:cs="Times New Roman"/>
          <w:sz w:val="24"/>
          <w:szCs w:val="24"/>
        </w:rPr>
      </w:pPr>
    </w:p>
    <w:p w14:paraId="181BFA1E" w14:textId="1FF52400" w:rsidR="00B43C3A" w:rsidRDefault="00EC5870" w:rsidP="00B43C3A">
      <w:pPr>
        <w:spacing w:after="0" w:line="480" w:lineRule="auto"/>
        <w:rPr>
          <w:rFonts w:ascii="Times New Roman" w:hAnsi="Times New Roman" w:cs="Times New Roman"/>
          <w:sz w:val="24"/>
          <w:szCs w:val="24"/>
        </w:rPr>
      </w:pPr>
      <w:r>
        <w:rPr>
          <w:noProof/>
        </w:rPr>
        <w:lastRenderedPageBreak/>
        <w:drawing>
          <wp:inline distT="0" distB="0" distL="0" distR="0" wp14:anchorId="01AD9F69" wp14:editId="65FC6D2C">
            <wp:extent cx="5526405" cy="5716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6405" cy="5716905"/>
                    </a:xfrm>
                    <a:prstGeom prst="rect">
                      <a:avLst/>
                    </a:prstGeom>
                    <a:noFill/>
                    <a:ln>
                      <a:noFill/>
                    </a:ln>
                  </pic:spPr>
                </pic:pic>
              </a:graphicData>
            </a:graphic>
          </wp:inline>
        </w:drawing>
      </w:r>
    </w:p>
    <w:p w14:paraId="04571E14" w14:textId="562F198F" w:rsidR="00B43C3A" w:rsidRDefault="00B43C3A" w:rsidP="00B43C3A">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Figure 4. Kappa values.</w:t>
      </w:r>
    </w:p>
    <w:p w14:paraId="1D299C31" w14:textId="77777777" w:rsidR="00B43C3A" w:rsidRDefault="00B43C3A" w:rsidP="00B43C3A">
      <w:pPr>
        <w:spacing w:after="0" w:line="480" w:lineRule="auto"/>
        <w:rPr>
          <w:rFonts w:ascii="Times New Roman" w:hAnsi="Times New Roman" w:cs="Times New Roman"/>
          <w:sz w:val="24"/>
          <w:szCs w:val="24"/>
        </w:rPr>
      </w:pPr>
    </w:p>
    <w:p w14:paraId="6059BCBF" w14:textId="76354FE4" w:rsidR="00B43C3A" w:rsidRDefault="00B43C3A" w:rsidP="00B43C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5-days, the F1 values for random forests, </w:t>
      </w:r>
      <w:r w:rsidR="004121B1">
        <w:rPr>
          <w:rFonts w:ascii="Times New Roman" w:hAnsi="Times New Roman" w:cs="Times New Roman"/>
          <w:sz w:val="24"/>
          <w:szCs w:val="24"/>
        </w:rPr>
        <w:t>GBM</w:t>
      </w:r>
      <w:r>
        <w:rPr>
          <w:rFonts w:ascii="Times New Roman" w:hAnsi="Times New Roman" w:cs="Times New Roman"/>
          <w:sz w:val="24"/>
          <w:szCs w:val="24"/>
        </w:rPr>
        <w:t xml:space="preserve">, </w:t>
      </w:r>
      <w:r w:rsidR="00743207">
        <w:rPr>
          <w:rFonts w:ascii="Times New Roman" w:hAnsi="Times New Roman" w:cs="Times New Roman"/>
          <w:sz w:val="24"/>
          <w:szCs w:val="24"/>
        </w:rPr>
        <w:t>Extra</w:t>
      </w:r>
      <w:r>
        <w:rPr>
          <w:rFonts w:ascii="Times New Roman" w:hAnsi="Times New Roman" w:cs="Times New Roman"/>
          <w:sz w:val="24"/>
          <w:szCs w:val="24"/>
        </w:rPr>
        <w:t xml:space="preserve"> </w:t>
      </w:r>
      <w:r w:rsidR="00743207">
        <w:rPr>
          <w:rFonts w:ascii="Times New Roman" w:hAnsi="Times New Roman" w:cs="Times New Roman"/>
          <w:sz w:val="24"/>
          <w:szCs w:val="24"/>
        </w:rPr>
        <w:t>T</w:t>
      </w:r>
      <w:r>
        <w:rPr>
          <w:rFonts w:ascii="Times New Roman" w:hAnsi="Times New Roman" w:cs="Times New Roman"/>
          <w:sz w:val="24"/>
          <w:szCs w:val="24"/>
        </w:rPr>
        <w:t xml:space="preserve">rees and SVM are mostly greater than 0.80 (Figure 5). By comparison, Naïve Bayes has the lowest F1 values and Lasso has the second lowest F1 values. In summary, overall accuracy, kappa, and F1 </w:t>
      </w:r>
      <w:proofErr w:type="gramStart"/>
      <w:r>
        <w:rPr>
          <w:rFonts w:ascii="Times New Roman" w:hAnsi="Times New Roman" w:cs="Times New Roman"/>
          <w:sz w:val="24"/>
          <w:szCs w:val="24"/>
        </w:rPr>
        <w:t>are in agreement</w:t>
      </w:r>
      <w:proofErr w:type="gramEnd"/>
      <w:r>
        <w:rPr>
          <w:rFonts w:ascii="Times New Roman" w:hAnsi="Times New Roman" w:cs="Times New Roman"/>
          <w:sz w:val="24"/>
          <w:szCs w:val="24"/>
        </w:rPr>
        <w:t xml:space="preserve"> </w:t>
      </w:r>
      <w:r w:rsidR="00AD2E70">
        <w:rPr>
          <w:rFonts w:ascii="Times New Roman" w:hAnsi="Times New Roman" w:cs="Times New Roman"/>
          <w:sz w:val="24"/>
          <w:szCs w:val="24"/>
        </w:rPr>
        <w:t xml:space="preserve">showing </w:t>
      </w:r>
      <w:r>
        <w:rPr>
          <w:rFonts w:ascii="Times New Roman" w:hAnsi="Times New Roman" w:cs="Times New Roman"/>
          <w:sz w:val="24"/>
          <w:szCs w:val="24"/>
        </w:rPr>
        <w:t xml:space="preserve">random forests, </w:t>
      </w:r>
      <w:r w:rsidR="004121B1">
        <w:rPr>
          <w:rFonts w:ascii="Times New Roman" w:hAnsi="Times New Roman" w:cs="Times New Roman"/>
          <w:sz w:val="24"/>
          <w:szCs w:val="24"/>
        </w:rPr>
        <w:t>GBM</w:t>
      </w:r>
      <w:r>
        <w:rPr>
          <w:rFonts w:ascii="Times New Roman" w:hAnsi="Times New Roman" w:cs="Times New Roman"/>
          <w:sz w:val="24"/>
          <w:szCs w:val="24"/>
        </w:rPr>
        <w:t xml:space="preserve">, </w:t>
      </w:r>
      <w:r w:rsidR="00D34105">
        <w:rPr>
          <w:rFonts w:ascii="Times New Roman" w:hAnsi="Times New Roman" w:cs="Times New Roman"/>
          <w:sz w:val="24"/>
          <w:szCs w:val="24"/>
        </w:rPr>
        <w:t>Extra Trees</w:t>
      </w:r>
      <w:r>
        <w:rPr>
          <w:rFonts w:ascii="Times New Roman" w:hAnsi="Times New Roman" w:cs="Times New Roman"/>
          <w:sz w:val="24"/>
          <w:szCs w:val="24"/>
        </w:rPr>
        <w:t xml:space="preserve"> and SVM have higher prediction accuracy than Lasso or Naïve Bayes.</w:t>
      </w:r>
    </w:p>
    <w:p w14:paraId="6DAAC706" w14:textId="77777777" w:rsidR="00B43C3A" w:rsidRDefault="00B43C3A" w:rsidP="00B43C3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4BA210A3" w14:textId="0B1433CE" w:rsidR="00B43C3A" w:rsidRDefault="00EC5870" w:rsidP="00B43C3A">
      <w:pPr>
        <w:spacing w:after="0" w:line="480" w:lineRule="auto"/>
        <w:rPr>
          <w:rFonts w:ascii="Times New Roman" w:hAnsi="Times New Roman" w:cs="Times New Roman"/>
          <w:sz w:val="24"/>
          <w:szCs w:val="24"/>
        </w:rPr>
      </w:pPr>
      <w:r>
        <w:rPr>
          <w:noProof/>
        </w:rPr>
        <w:drawing>
          <wp:inline distT="0" distB="0" distL="0" distR="0" wp14:anchorId="5BCBBEE8" wp14:editId="77E0EDEA">
            <wp:extent cx="5526405" cy="5716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6405" cy="5716905"/>
                    </a:xfrm>
                    <a:prstGeom prst="rect">
                      <a:avLst/>
                    </a:prstGeom>
                    <a:noFill/>
                    <a:ln>
                      <a:noFill/>
                    </a:ln>
                  </pic:spPr>
                </pic:pic>
              </a:graphicData>
            </a:graphic>
          </wp:inline>
        </w:drawing>
      </w:r>
    </w:p>
    <w:p w14:paraId="236526F1" w14:textId="274A6405" w:rsidR="00B43C3A" w:rsidRDefault="00B43C3A" w:rsidP="00B43C3A">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Figure 5. F1 value.</w:t>
      </w:r>
    </w:p>
    <w:p w14:paraId="21520DD7" w14:textId="77777777" w:rsidR="00B43C3A" w:rsidRDefault="00B43C3A" w:rsidP="00513D4B">
      <w:pPr>
        <w:spacing w:after="0" w:line="480" w:lineRule="auto"/>
        <w:rPr>
          <w:rFonts w:ascii="Times New Roman" w:hAnsi="Times New Roman" w:cs="Times New Roman"/>
          <w:sz w:val="24"/>
          <w:szCs w:val="24"/>
        </w:rPr>
      </w:pPr>
    </w:p>
    <w:p w14:paraId="4D83F6D9" w14:textId="5E3CA978" w:rsidR="008534C7" w:rsidRDefault="008534C7" w:rsidP="00513D4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Mean absolute Shapley values for PBW reveal the importance of technical indicators (Figure </w:t>
      </w:r>
      <w:r w:rsidR="00B43C3A">
        <w:rPr>
          <w:rFonts w:ascii="Times New Roman" w:hAnsi="Times New Roman" w:cs="Times New Roman"/>
          <w:sz w:val="24"/>
          <w:szCs w:val="24"/>
        </w:rPr>
        <w:t>6</w:t>
      </w:r>
      <w:r>
        <w:rPr>
          <w:rFonts w:ascii="Times New Roman" w:hAnsi="Times New Roman" w:cs="Times New Roman"/>
          <w:sz w:val="24"/>
          <w:szCs w:val="24"/>
        </w:rPr>
        <w:t xml:space="preserve">a). </w:t>
      </w:r>
      <w:r w:rsidR="0090363F">
        <w:rPr>
          <w:rFonts w:ascii="Times New Roman" w:hAnsi="Times New Roman" w:cs="Times New Roman"/>
          <w:sz w:val="24"/>
          <w:szCs w:val="24"/>
        </w:rPr>
        <w:t xml:space="preserve">For each plot in Figure 6a, features are ordered in descending order of importance. </w:t>
      </w:r>
      <w:r w:rsidR="0019632D">
        <w:rPr>
          <w:rFonts w:ascii="Times New Roman" w:hAnsi="Times New Roman" w:cs="Times New Roman"/>
          <w:sz w:val="24"/>
          <w:szCs w:val="24"/>
        </w:rPr>
        <w:t xml:space="preserve">The horizontal axis denotes probability associated with the up classification. For a 10-day forecast for example (Figure 6a, top right), WAD increases the probability of being in the up </w:t>
      </w:r>
      <w:r w:rsidR="0019632D">
        <w:rPr>
          <w:rFonts w:ascii="Times New Roman" w:hAnsi="Times New Roman" w:cs="Times New Roman"/>
          <w:sz w:val="24"/>
          <w:szCs w:val="24"/>
        </w:rPr>
        <w:lastRenderedPageBreak/>
        <w:t xml:space="preserve">classification by 3.25% on average. </w:t>
      </w:r>
      <w:r>
        <w:rPr>
          <w:rFonts w:ascii="Times New Roman" w:hAnsi="Times New Roman" w:cs="Times New Roman"/>
          <w:sz w:val="24"/>
          <w:szCs w:val="24"/>
        </w:rPr>
        <w:t xml:space="preserve">For forecasts of 10, </w:t>
      </w:r>
      <w:r w:rsidR="0019632D">
        <w:rPr>
          <w:rFonts w:ascii="Times New Roman" w:hAnsi="Times New Roman" w:cs="Times New Roman"/>
          <w:sz w:val="24"/>
          <w:szCs w:val="24"/>
        </w:rPr>
        <w:t>1</w:t>
      </w:r>
      <w:r w:rsidR="00A32CC2">
        <w:rPr>
          <w:rFonts w:ascii="Times New Roman" w:hAnsi="Times New Roman" w:cs="Times New Roman"/>
          <w:sz w:val="24"/>
          <w:szCs w:val="24"/>
        </w:rPr>
        <w:t xml:space="preserve">5, </w:t>
      </w:r>
      <w:r>
        <w:rPr>
          <w:rFonts w:ascii="Times New Roman" w:hAnsi="Times New Roman" w:cs="Times New Roman"/>
          <w:sz w:val="24"/>
          <w:szCs w:val="24"/>
        </w:rPr>
        <w:t xml:space="preserve">and 20 days, WAD, MA50, and MA200 are </w:t>
      </w:r>
      <w:r w:rsidR="0089287C">
        <w:rPr>
          <w:rFonts w:ascii="Times New Roman" w:hAnsi="Times New Roman" w:cs="Times New Roman"/>
          <w:sz w:val="24"/>
          <w:szCs w:val="24"/>
        </w:rPr>
        <w:t xml:space="preserve">top five </w:t>
      </w:r>
      <w:r w:rsidR="00D34105">
        <w:rPr>
          <w:rFonts w:ascii="Times New Roman" w:hAnsi="Times New Roman" w:cs="Times New Roman"/>
          <w:sz w:val="24"/>
          <w:szCs w:val="24"/>
        </w:rPr>
        <w:t xml:space="preserve">most </w:t>
      </w:r>
      <w:r>
        <w:rPr>
          <w:rFonts w:ascii="Times New Roman" w:hAnsi="Times New Roman" w:cs="Times New Roman"/>
          <w:sz w:val="24"/>
          <w:szCs w:val="24"/>
        </w:rPr>
        <w:t>important features</w:t>
      </w:r>
      <w:r w:rsidR="0019632D">
        <w:rPr>
          <w:rFonts w:ascii="Times New Roman" w:hAnsi="Times New Roman" w:cs="Times New Roman"/>
          <w:sz w:val="24"/>
          <w:szCs w:val="24"/>
        </w:rPr>
        <w:t xml:space="preserve"> while VIX is the most important non-technical feature</w:t>
      </w:r>
      <w:r>
        <w:rPr>
          <w:rFonts w:ascii="Times New Roman" w:hAnsi="Times New Roman" w:cs="Times New Roman"/>
          <w:sz w:val="24"/>
          <w:szCs w:val="24"/>
        </w:rPr>
        <w:t>.</w:t>
      </w:r>
      <w:r w:rsidR="002F76D1">
        <w:rPr>
          <w:rFonts w:ascii="Times New Roman" w:hAnsi="Times New Roman" w:cs="Times New Roman"/>
          <w:sz w:val="24"/>
          <w:szCs w:val="24"/>
        </w:rPr>
        <w:t xml:space="preserve"> Focusing on the 20-day forecasts (</w:t>
      </w:r>
      <w:r w:rsidR="00A32CC2">
        <w:rPr>
          <w:rFonts w:ascii="Times New Roman" w:hAnsi="Times New Roman" w:cs="Times New Roman"/>
          <w:sz w:val="24"/>
          <w:szCs w:val="24"/>
        </w:rPr>
        <w:t xml:space="preserve">because from Figure 3 </w:t>
      </w:r>
      <w:r w:rsidR="002F76D1">
        <w:rPr>
          <w:rFonts w:ascii="Times New Roman" w:hAnsi="Times New Roman" w:cs="Times New Roman"/>
          <w:sz w:val="24"/>
          <w:szCs w:val="24"/>
        </w:rPr>
        <w:t>forecast accuracy is highest for the 1</w:t>
      </w:r>
      <w:r w:rsidR="00A32CC2">
        <w:rPr>
          <w:rFonts w:ascii="Times New Roman" w:hAnsi="Times New Roman" w:cs="Times New Roman"/>
          <w:sz w:val="24"/>
          <w:szCs w:val="24"/>
        </w:rPr>
        <w:t>5</w:t>
      </w:r>
      <w:r w:rsidR="002F76D1">
        <w:rPr>
          <w:rFonts w:ascii="Times New Roman" w:hAnsi="Times New Roman" w:cs="Times New Roman"/>
          <w:sz w:val="24"/>
          <w:szCs w:val="24"/>
        </w:rPr>
        <w:t xml:space="preserve"> to 20</w:t>
      </w:r>
      <w:r w:rsidR="00321018">
        <w:rPr>
          <w:rFonts w:ascii="Times New Roman" w:hAnsi="Times New Roman" w:cs="Times New Roman"/>
          <w:sz w:val="24"/>
          <w:szCs w:val="24"/>
        </w:rPr>
        <w:t>-</w:t>
      </w:r>
      <w:r w:rsidR="002F76D1">
        <w:rPr>
          <w:rFonts w:ascii="Times New Roman" w:hAnsi="Times New Roman" w:cs="Times New Roman"/>
          <w:sz w:val="24"/>
          <w:szCs w:val="24"/>
        </w:rPr>
        <w:t xml:space="preserve">day forecasts), shows that the top four important features are technical indicators (WAD, MA200, MA50, </w:t>
      </w:r>
      <w:proofErr w:type="spellStart"/>
      <w:r w:rsidR="002F76D1">
        <w:rPr>
          <w:rFonts w:ascii="Times New Roman" w:hAnsi="Times New Roman" w:cs="Times New Roman"/>
          <w:sz w:val="24"/>
          <w:szCs w:val="24"/>
        </w:rPr>
        <w:t>OnBalanceVolume</w:t>
      </w:r>
      <w:proofErr w:type="spellEnd"/>
      <w:r w:rsidR="002F76D1">
        <w:rPr>
          <w:rFonts w:ascii="Times New Roman" w:hAnsi="Times New Roman" w:cs="Times New Roman"/>
          <w:sz w:val="24"/>
          <w:szCs w:val="24"/>
        </w:rPr>
        <w:t xml:space="preserve">). The most important non-technical feature is VIX followed by OVX. </w:t>
      </w:r>
    </w:p>
    <w:p w14:paraId="222913B3" w14:textId="40E05DAC" w:rsidR="008149A8" w:rsidRDefault="008149A8" w:rsidP="00513D4B">
      <w:pPr>
        <w:spacing w:after="0" w:line="480" w:lineRule="auto"/>
        <w:rPr>
          <w:rFonts w:ascii="Times New Roman" w:hAnsi="Times New Roman" w:cs="Times New Roman"/>
          <w:sz w:val="24"/>
          <w:szCs w:val="24"/>
        </w:rPr>
      </w:pPr>
    </w:p>
    <w:p w14:paraId="7A766E7D" w14:textId="2C79BDE7" w:rsidR="008149A8" w:rsidRDefault="008149A8" w:rsidP="00513D4B">
      <w:pPr>
        <w:spacing w:after="0" w:line="480" w:lineRule="auto"/>
        <w:rPr>
          <w:rFonts w:ascii="Times New Roman" w:hAnsi="Times New Roman" w:cs="Times New Roman"/>
          <w:sz w:val="24"/>
          <w:szCs w:val="24"/>
        </w:rPr>
      </w:pPr>
    </w:p>
    <w:p w14:paraId="55771092" w14:textId="25C0D8E3" w:rsidR="008149A8" w:rsidRDefault="00852884" w:rsidP="00513D4B">
      <w:pPr>
        <w:spacing w:after="0" w:line="480" w:lineRule="auto"/>
        <w:rPr>
          <w:rFonts w:ascii="Times New Roman" w:hAnsi="Times New Roman" w:cs="Times New Roman"/>
          <w:sz w:val="24"/>
          <w:szCs w:val="24"/>
        </w:rPr>
      </w:pPr>
      <w:r>
        <w:rPr>
          <w:noProof/>
        </w:rPr>
        <w:lastRenderedPageBreak/>
        <w:drawing>
          <wp:inline distT="0" distB="0" distL="0" distR="0" wp14:anchorId="23423080" wp14:editId="4452562D">
            <wp:extent cx="5522595" cy="552259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2595" cy="5522595"/>
                    </a:xfrm>
                    <a:prstGeom prst="rect">
                      <a:avLst/>
                    </a:prstGeom>
                    <a:noFill/>
                    <a:ln>
                      <a:noFill/>
                    </a:ln>
                  </pic:spPr>
                </pic:pic>
              </a:graphicData>
            </a:graphic>
          </wp:inline>
        </w:drawing>
      </w:r>
    </w:p>
    <w:p w14:paraId="6371D73A" w14:textId="422A659D" w:rsidR="008149A8" w:rsidRDefault="008149A8" w:rsidP="00513D4B">
      <w:pPr>
        <w:spacing w:after="0" w:line="480" w:lineRule="auto"/>
        <w:rPr>
          <w:rFonts w:ascii="Times New Roman" w:hAnsi="Times New Roman" w:cs="Times New Roman"/>
          <w:sz w:val="24"/>
          <w:szCs w:val="24"/>
        </w:rPr>
      </w:pPr>
    </w:p>
    <w:p w14:paraId="41692833" w14:textId="494E7D9A" w:rsidR="008149A8" w:rsidRDefault="008149A8" w:rsidP="00095285">
      <w:pPr>
        <w:spacing w:after="0" w:line="24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 xml:space="preserve">Figure </w:t>
      </w:r>
      <w:r w:rsidR="00B43C3A">
        <w:rPr>
          <w:rFonts w:ascii="Times New Roman" w:hAnsi="Times New Roman" w:cs="Times New Roman"/>
          <w:sz w:val="24"/>
          <w:szCs w:val="24"/>
          <w:lang w:bidi="en-US"/>
        </w:rPr>
        <w:t>6</w:t>
      </w:r>
      <w:r w:rsidR="00EA6BC3">
        <w:rPr>
          <w:rFonts w:ascii="Times New Roman" w:hAnsi="Times New Roman" w:cs="Times New Roman"/>
          <w:sz w:val="24"/>
          <w:szCs w:val="24"/>
          <w:lang w:bidi="en-US"/>
        </w:rPr>
        <w:t>a</w:t>
      </w:r>
      <w:r>
        <w:rPr>
          <w:rFonts w:ascii="Times New Roman" w:hAnsi="Times New Roman" w:cs="Times New Roman"/>
          <w:sz w:val="24"/>
          <w:szCs w:val="24"/>
          <w:lang w:bidi="en-US"/>
        </w:rPr>
        <w:t xml:space="preserve">. </w:t>
      </w:r>
      <w:r w:rsidR="00095285">
        <w:rPr>
          <w:rFonts w:ascii="Times New Roman" w:hAnsi="Times New Roman" w:cs="Times New Roman"/>
          <w:sz w:val="24"/>
          <w:szCs w:val="24"/>
          <w:lang w:bidi="en-US"/>
        </w:rPr>
        <w:t>Shapley values</w:t>
      </w:r>
      <w:r w:rsidR="00D34105">
        <w:rPr>
          <w:rFonts w:ascii="Times New Roman" w:hAnsi="Times New Roman" w:cs="Times New Roman"/>
          <w:sz w:val="24"/>
          <w:szCs w:val="24"/>
          <w:lang w:bidi="en-US"/>
        </w:rPr>
        <w:t xml:space="preserve"> for PBW</w:t>
      </w:r>
      <w:r w:rsidR="00095285">
        <w:rPr>
          <w:rFonts w:ascii="Times New Roman" w:hAnsi="Times New Roman" w:cs="Times New Roman"/>
          <w:sz w:val="24"/>
          <w:szCs w:val="24"/>
          <w:lang w:bidi="en-US"/>
        </w:rPr>
        <w:t>. Top left (5 day forecast horizon), top right (10 day forecast horizon), bottom left (15 day forecast horizon), and bottom right (20 day forecast horizon).</w:t>
      </w:r>
    </w:p>
    <w:p w14:paraId="6F890309" w14:textId="764669A6" w:rsidR="008149A8" w:rsidRDefault="008149A8" w:rsidP="00513D4B">
      <w:pPr>
        <w:spacing w:after="0" w:line="480" w:lineRule="auto"/>
        <w:rPr>
          <w:rFonts w:ascii="Times New Roman" w:hAnsi="Times New Roman" w:cs="Times New Roman"/>
          <w:sz w:val="24"/>
          <w:szCs w:val="24"/>
        </w:rPr>
      </w:pPr>
    </w:p>
    <w:p w14:paraId="06500F67" w14:textId="46A0BE48" w:rsidR="008149A8" w:rsidRDefault="00943D53" w:rsidP="00513D4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ICLN, </w:t>
      </w:r>
      <w:r w:rsidR="00B52A75">
        <w:rPr>
          <w:rFonts w:ascii="Times New Roman" w:hAnsi="Times New Roman" w:cs="Times New Roman"/>
          <w:sz w:val="24"/>
          <w:szCs w:val="24"/>
        </w:rPr>
        <w:t>WAD, MA200, and MA50</w:t>
      </w:r>
      <w:r>
        <w:rPr>
          <w:rFonts w:ascii="Times New Roman" w:hAnsi="Times New Roman" w:cs="Times New Roman"/>
          <w:sz w:val="24"/>
          <w:szCs w:val="24"/>
        </w:rPr>
        <w:t xml:space="preserve"> are </w:t>
      </w:r>
      <w:r w:rsidR="00B52A75">
        <w:rPr>
          <w:rFonts w:ascii="Times New Roman" w:hAnsi="Times New Roman" w:cs="Times New Roman"/>
          <w:sz w:val="24"/>
          <w:szCs w:val="24"/>
        </w:rPr>
        <w:t>among the top five</w:t>
      </w:r>
      <w:r>
        <w:rPr>
          <w:rFonts w:ascii="Times New Roman" w:hAnsi="Times New Roman" w:cs="Times New Roman"/>
          <w:sz w:val="24"/>
          <w:szCs w:val="24"/>
        </w:rPr>
        <w:t xml:space="preserve"> features for </w:t>
      </w:r>
      <w:r w:rsidR="00B52A75">
        <w:rPr>
          <w:rFonts w:ascii="Times New Roman" w:hAnsi="Times New Roman" w:cs="Times New Roman"/>
          <w:sz w:val="24"/>
          <w:szCs w:val="24"/>
        </w:rPr>
        <w:t>forecas</w:t>
      </w:r>
      <w:r>
        <w:rPr>
          <w:rFonts w:ascii="Times New Roman" w:hAnsi="Times New Roman" w:cs="Times New Roman"/>
          <w:sz w:val="24"/>
          <w:szCs w:val="24"/>
        </w:rPr>
        <w:t xml:space="preserve">ting </w:t>
      </w:r>
      <w:r w:rsidR="00A32CC2">
        <w:rPr>
          <w:rFonts w:ascii="Times New Roman" w:hAnsi="Times New Roman" w:cs="Times New Roman"/>
          <w:sz w:val="24"/>
          <w:szCs w:val="24"/>
        </w:rPr>
        <w:t>1</w:t>
      </w:r>
      <w:r w:rsidR="00C02CDC">
        <w:rPr>
          <w:rFonts w:ascii="Times New Roman" w:hAnsi="Times New Roman" w:cs="Times New Roman"/>
          <w:sz w:val="24"/>
          <w:szCs w:val="24"/>
        </w:rPr>
        <w:t>0</w:t>
      </w:r>
      <w:r>
        <w:rPr>
          <w:rFonts w:ascii="Times New Roman" w:hAnsi="Times New Roman" w:cs="Times New Roman"/>
          <w:sz w:val="24"/>
          <w:szCs w:val="24"/>
        </w:rPr>
        <w:t>, 1</w:t>
      </w:r>
      <w:r w:rsidR="00C02CDC">
        <w:rPr>
          <w:rFonts w:ascii="Times New Roman" w:hAnsi="Times New Roman" w:cs="Times New Roman"/>
          <w:sz w:val="24"/>
          <w:szCs w:val="24"/>
        </w:rPr>
        <w:t>5</w:t>
      </w:r>
      <w:r>
        <w:rPr>
          <w:rFonts w:ascii="Times New Roman" w:hAnsi="Times New Roman" w:cs="Times New Roman"/>
          <w:sz w:val="24"/>
          <w:szCs w:val="24"/>
        </w:rPr>
        <w:t xml:space="preserve">, and 20 days (Figure </w:t>
      </w:r>
      <w:r w:rsidR="00B43C3A">
        <w:rPr>
          <w:rFonts w:ascii="Times New Roman" w:hAnsi="Times New Roman" w:cs="Times New Roman"/>
          <w:sz w:val="24"/>
          <w:szCs w:val="24"/>
        </w:rPr>
        <w:t>6</w:t>
      </w:r>
      <w:r>
        <w:rPr>
          <w:rFonts w:ascii="Times New Roman" w:hAnsi="Times New Roman" w:cs="Times New Roman"/>
          <w:sz w:val="24"/>
          <w:szCs w:val="24"/>
        </w:rPr>
        <w:t>b). For 20</w:t>
      </w:r>
      <w:r w:rsidR="00B772A0">
        <w:rPr>
          <w:rFonts w:ascii="Times New Roman" w:hAnsi="Times New Roman" w:cs="Times New Roman"/>
          <w:sz w:val="24"/>
          <w:szCs w:val="24"/>
        </w:rPr>
        <w:t>-</w:t>
      </w:r>
      <w:r>
        <w:rPr>
          <w:rFonts w:ascii="Times New Roman" w:hAnsi="Times New Roman" w:cs="Times New Roman"/>
          <w:sz w:val="24"/>
          <w:szCs w:val="24"/>
        </w:rPr>
        <w:t xml:space="preserve">day forecasts, the top five features in terms of importance are the same as the those for PBW (WAD, MA200, MA50, </w:t>
      </w:r>
      <w:r w:rsidR="00A32CC2">
        <w:rPr>
          <w:rFonts w:ascii="Times New Roman" w:hAnsi="Times New Roman" w:cs="Times New Roman"/>
          <w:sz w:val="24"/>
          <w:szCs w:val="24"/>
        </w:rPr>
        <w:t xml:space="preserve">VIX, </w:t>
      </w:r>
      <w:proofErr w:type="spellStart"/>
      <w:r>
        <w:rPr>
          <w:rFonts w:ascii="Times New Roman" w:hAnsi="Times New Roman" w:cs="Times New Roman"/>
          <w:sz w:val="24"/>
          <w:szCs w:val="24"/>
        </w:rPr>
        <w:t>OnBalanceVolume</w:t>
      </w:r>
      <w:proofErr w:type="spellEnd"/>
      <w:r>
        <w:rPr>
          <w:rFonts w:ascii="Times New Roman" w:hAnsi="Times New Roman" w:cs="Times New Roman"/>
          <w:sz w:val="24"/>
          <w:szCs w:val="24"/>
        </w:rPr>
        <w:t xml:space="preserve">). </w:t>
      </w:r>
    </w:p>
    <w:p w14:paraId="1B748344" w14:textId="77777777" w:rsidR="00B772A0" w:rsidRDefault="00B772A0" w:rsidP="00513D4B">
      <w:pPr>
        <w:spacing w:after="0" w:line="480" w:lineRule="auto"/>
        <w:rPr>
          <w:rFonts w:ascii="Times New Roman" w:hAnsi="Times New Roman" w:cs="Times New Roman"/>
          <w:sz w:val="24"/>
          <w:szCs w:val="24"/>
        </w:rPr>
      </w:pPr>
    </w:p>
    <w:p w14:paraId="61095361" w14:textId="6CFF764D" w:rsidR="008149A8" w:rsidRDefault="00852884" w:rsidP="00513D4B">
      <w:pPr>
        <w:spacing w:after="0" w:line="480" w:lineRule="auto"/>
        <w:rPr>
          <w:rFonts w:ascii="Times New Roman" w:hAnsi="Times New Roman" w:cs="Times New Roman"/>
          <w:sz w:val="24"/>
          <w:szCs w:val="24"/>
        </w:rPr>
      </w:pPr>
      <w:r>
        <w:rPr>
          <w:noProof/>
        </w:rPr>
        <w:lastRenderedPageBreak/>
        <w:drawing>
          <wp:inline distT="0" distB="0" distL="0" distR="0" wp14:anchorId="4F7551F7" wp14:editId="002A2CA5">
            <wp:extent cx="5522595" cy="55225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2595" cy="5522595"/>
                    </a:xfrm>
                    <a:prstGeom prst="rect">
                      <a:avLst/>
                    </a:prstGeom>
                    <a:noFill/>
                    <a:ln>
                      <a:noFill/>
                    </a:ln>
                  </pic:spPr>
                </pic:pic>
              </a:graphicData>
            </a:graphic>
          </wp:inline>
        </w:drawing>
      </w:r>
    </w:p>
    <w:p w14:paraId="42E1A85A" w14:textId="66046C05" w:rsidR="008149A8" w:rsidRDefault="008149A8" w:rsidP="00513D4B">
      <w:pPr>
        <w:spacing w:after="0" w:line="480" w:lineRule="auto"/>
        <w:rPr>
          <w:rFonts w:ascii="Times New Roman" w:hAnsi="Times New Roman" w:cs="Times New Roman"/>
          <w:sz w:val="24"/>
          <w:szCs w:val="24"/>
        </w:rPr>
      </w:pPr>
    </w:p>
    <w:p w14:paraId="697F2BF8" w14:textId="1BFC23C6" w:rsidR="008149A8" w:rsidRDefault="008149A8" w:rsidP="00095285">
      <w:pPr>
        <w:spacing w:after="0" w:line="24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 xml:space="preserve">Figure </w:t>
      </w:r>
      <w:r w:rsidR="00B43C3A">
        <w:rPr>
          <w:rFonts w:ascii="Times New Roman" w:hAnsi="Times New Roman" w:cs="Times New Roman"/>
          <w:sz w:val="24"/>
          <w:szCs w:val="24"/>
          <w:lang w:bidi="en-US"/>
        </w:rPr>
        <w:t>6</w:t>
      </w:r>
      <w:r w:rsidR="00EA6BC3">
        <w:rPr>
          <w:rFonts w:ascii="Times New Roman" w:hAnsi="Times New Roman" w:cs="Times New Roman"/>
          <w:sz w:val="24"/>
          <w:szCs w:val="24"/>
          <w:lang w:bidi="en-US"/>
        </w:rPr>
        <w:t>b</w:t>
      </w:r>
      <w:r>
        <w:rPr>
          <w:rFonts w:ascii="Times New Roman" w:hAnsi="Times New Roman" w:cs="Times New Roman"/>
          <w:sz w:val="24"/>
          <w:szCs w:val="24"/>
          <w:lang w:bidi="en-US"/>
        </w:rPr>
        <w:t xml:space="preserve">. </w:t>
      </w:r>
      <w:r w:rsidR="00095285">
        <w:rPr>
          <w:rFonts w:ascii="Times New Roman" w:hAnsi="Times New Roman" w:cs="Times New Roman"/>
          <w:sz w:val="24"/>
          <w:szCs w:val="24"/>
          <w:lang w:bidi="en-US"/>
        </w:rPr>
        <w:t>Shapley values</w:t>
      </w:r>
      <w:r w:rsidR="00D34105">
        <w:rPr>
          <w:rFonts w:ascii="Times New Roman" w:hAnsi="Times New Roman" w:cs="Times New Roman"/>
          <w:sz w:val="24"/>
          <w:szCs w:val="24"/>
          <w:lang w:bidi="en-US"/>
        </w:rPr>
        <w:t xml:space="preserve"> for </w:t>
      </w:r>
      <w:r w:rsidR="00D34105">
        <w:rPr>
          <w:rFonts w:ascii="Times New Roman" w:hAnsi="Times New Roman" w:cs="Times New Roman"/>
          <w:sz w:val="24"/>
          <w:szCs w:val="24"/>
          <w:lang w:bidi="en-US"/>
        </w:rPr>
        <w:t>ICLN</w:t>
      </w:r>
      <w:r w:rsidR="00095285">
        <w:rPr>
          <w:rFonts w:ascii="Times New Roman" w:hAnsi="Times New Roman" w:cs="Times New Roman"/>
          <w:sz w:val="24"/>
          <w:szCs w:val="24"/>
          <w:lang w:bidi="en-US"/>
        </w:rPr>
        <w:t>. Top left (5 day forecast horizon), top right (10 day forecast horizon), bottom left (15 day forecast horizon), and bottom right (20 day forecast horizon).</w:t>
      </w:r>
    </w:p>
    <w:p w14:paraId="52B0F3A0" w14:textId="4EC6CA0B" w:rsidR="008149A8" w:rsidRDefault="008149A8" w:rsidP="00513D4B">
      <w:pPr>
        <w:spacing w:after="0" w:line="480" w:lineRule="auto"/>
        <w:rPr>
          <w:rFonts w:ascii="Times New Roman" w:hAnsi="Times New Roman" w:cs="Times New Roman"/>
          <w:sz w:val="24"/>
          <w:szCs w:val="24"/>
        </w:rPr>
      </w:pPr>
    </w:p>
    <w:p w14:paraId="3B41F8FD" w14:textId="1F6A694D" w:rsidR="008149A8" w:rsidRDefault="008149A8" w:rsidP="00513D4B">
      <w:pPr>
        <w:spacing w:after="0" w:line="480" w:lineRule="auto"/>
        <w:rPr>
          <w:rFonts w:ascii="Times New Roman" w:hAnsi="Times New Roman" w:cs="Times New Roman"/>
          <w:sz w:val="24"/>
          <w:szCs w:val="24"/>
        </w:rPr>
      </w:pPr>
    </w:p>
    <w:p w14:paraId="47F1AC1D" w14:textId="2C2376DC" w:rsidR="008149A8" w:rsidRDefault="00852884" w:rsidP="00513D4B">
      <w:pPr>
        <w:spacing w:after="0" w:line="480" w:lineRule="auto"/>
        <w:rPr>
          <w:rFonts w:ascii="Times New Roman" w:hAnsi="Times New Roman" w:cs="Times New Roman"/>
          <w:sz w:val="24"/>
          <w:szCs w:val="24"/>
        </w:rPr>
      </w:pPr>
      <w:r>
        <w:rPr>
          <w:noProof/>
        </w:rPr>
        <w:lastRenderedPageBreak/>
        <w:drawing>
          <wp:inline distT="0" distB="0" distL="0" distR="0" wp14:anchorId="46E63BE7" wp14:editId="74062E19">
            <wp:extent cx="5522595" cy="552259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2595" cy="5522595"/>
                    </a:xfrm>
                    <a:prstGeom prst="rect">
                      <a:avLst/>
                    </a:prstGeom>
                    <a:noFill/>
                    <a:ln>
                      <a:noFill/>
                    </a:ln>
                  </pic:spPr>
                </pic:pic>
              </a:graphicData>
            </a:graphic>
          </wp:inline>
        </w:drawing>
      </w:r>
    </w:p>
    <w:p w14:paraId="30A2C5FF" w14:textId="2CCB8A4D" w:rsidR="008149A8" w:rsidRDefault="008149A8" w:rsidP="00095285">
      <w:pPr>
        <w:spacing w:after="0" w:line="24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 xml:space="preserve">Figure </w:t>
      </w:r>
      <w:r w:rsidR="00B43C3A">
        <w:rPr>
          <w:rFonts w:ascii="Times New Roman" w:hAnsi="Times New Roman" w:cs="Times New Roman"/>
          <w:sz w:val="24"/>
          <w:szCs w:val="24"/>
          <w:lang w:bidi="en-US"/>
        </w:rPr>
        <w:t>6</w:t>
      </w:r>
      <w:r w:rsidR="00EA6BC3">
        <w:rPr>
          <w:rFonts w:ascii="Times New Roman" w:hAnsi="Times New Roman" w:cs="Times New Roman"/>
          <w:sz w:val="24"/>
          <w:szCs w:val="24"/>
          <w:lang w:bidi="en-US"/>
        </w:rPr>
        <w:t>c</w:t>
      </w:r>
      <w:r>
        <w:rPr>
          <w:rFonts w:ascii="Times New Roman" w:hAnsi="Times New Roman" w:cs="Times New Roman"/>
          <w:sz w:val="24"/>
          <w:szCs w:val="24"/>
          <w:lang w:bidi="en-US"/>
        </w:rPr>
        <w:t xml:space="preserve">. </w:t>
      </w:r>
      <w:r w:rsidR="00095285">
        <w:rPr>
          <w:rFonts w:ascii="Times New Roman" w:hAnsi="Times New Roman" w:cs="Times New Roman"/>
          <w:sz w:val="24"/>
          <w:szCs w:val="24"/>
          <w:lang w:bidi="en-US"/>
        </w:rPr>
        <w:t>Shapley values</w:t>
      </w:r>
      <w:r w:rsidR="00D34105">
        <w:rPr>
          <w:rFonts w:ascii="Times New Roman" w:hAnsi="Times New Roman" w:cs="Times New Roman"/>
          <w:sz w:val="24"/>
          <w:szCs w:val="24"/>
          <w:lang w:bidi="en-US"/>
        </w:rPr>
        <w:t xml:space="preserve"> for </w:t>
      </w:r>
      <w:r w:rsidR="00D34105">
        <w:rPr>
          <w:rFonts w:ascii="Times New Roman" w:hAnsi="Times New Roman" w:cs="Times New Roman"/>
          <w:sz w:val="24"/>
          <w:szCs w:val="24"/>
          <w:lang w:bidi="en-US"/>
        </w:rPr>
        <w:t>QCLN</w:t>
      </w:r>
      <w:r w:rsidR="00095285">
        <w:rPr>
          <w:rFonts w:ascii="Times New Roman" w:hAnsi="Times New Roman" w:cs="Times New Roman"/>
          <w:sz w:val="24"/>
          <w:szCs w:val="24"/>
          <w:lang w:bidi="en-US"/>
        </w:rPr>
        <w:t>. Top left (5 day forecast horizon), top right (10 day forecast horizon), bottom left (15 day forecast horizon), and bottom right (20 day forecast horizon).</w:t>
      </w:r>
    </w:p>
    <w:p w14:paraId="095B78BF" w14:textId="1533DD61" w:rsidR="008149A8" w:rsidRDefault="008149A8" w:rsidP="00513D4B">
      <w:pPr>
        <w:spacing w:after="0" w:line="480" w:lineRule="auto"/>
        <w:rPr>
          <w:rFonts w:ascii="Times New Roman" w:hAnsi="Times New Roman" w:cs="Times New Roman"/>
          <w:sz w:val="24"/>
          <w:szCs w:val="24"/>
        </w:rPr>
      </w:pPr>
    </w:p>
    <w:p w14:paraId="01C0893D" w14:textId="09098DD4" w:rsidR="008149A8" w:rsidRDefault="00F92CDB" w:rsidP="00513D4B">
      <w:pPr>
        <w:spacing w:after="0" w:line="480" w:lineRule="auto"/>
        <w:rPr>
          <w:rFonts w:ascii="Times New Roman" w:hAnsi="Times New Roman" w:cs="Times New Roman"/>
          <w:sz w:val="24"/>
          <w:szCs w:val="24"/>
        </w:rPr>
      </w:pPr>
      <w:r>
        <w:rPr>
          <w:rFonts w:ascii="Times New Roman" w:hAnsi="Times New Roman" w:cs="Times New Roman"/>
          <w:sz w:val="24"/>
          <w:szCs w:val="24"/>
        </w:rPr>
        <w:tab/>
        <w:t>For QCLN, the most important features for predicting 1</w:t>
      </w:r>
      <w:r w:rsidR="00C02CDC">
        <w:rPr>
          <w:rFonts w:ascii="Times New Roman" w:hAnsi="Times New Roman" w:cs="Times New Roman"/>
          <w:sz w:val="24"/>
          <w:szCs w:val="24"/>
        </w:rPr>
        <w:t>5</w:t>
      </w:r>
      <w:r>
        <w:rPr>
          <w:rFonts w:ascii="Times New Roman" w:hAnsi="Times New Roman" w:cs="Times New Roman"/>
          <w:sz w:val="24"/>
          <w:szCs w:val="24"/>
        </w:rPr>
        <w:t xml:space="preserve"> and 20 days are WAD, </w:t>
      </w:r>
      <w:proofErr w:type="spellStart"/>
      <w:r>
        <w:rPr>
          <w:rFonts w:ascii="Times New Roman" w:hAnsi="Times New Roman" w:cs="Times New Roman"/>
          <w:sz w:val="24"/>
          <w:szCs w:val="24"/>
        </w:rPr>
        <w:t>OnBalanceVolume</w:t>
      </w:r>
      <w:proofErr w:type="spellEnd"/>
      <w:r>
        <w:rPr>
          <w:rFonts w:ascii="Times New Roman" w:hAnsi="Times New Roman" w:cs="Times New Roman"/>
          <w:sz w:val="24"/>
          <w:szCs w:val="24"/>
        </w:rPr>
        <w:t xml:space="preserve">, MA200, and MA50 (Figure </w:t>
      </w:r>
      <w:r w:rsidR="00B43C3A">
        <w:rPr>
          <w:rFonts w:ascii="Times New Roman" w:hAnsi="Times New Roman" w:cs="Times New Roman"/>
          <w:sz w:val="24"/>
          <w:szCs w:val="24"/>
        </w:rPr>
        <w:t>6</w:t>
      </w:r>
      <w:r>
        <w:rPr>
          <w:rFonts w:ascii="Times New Roman" w:hAnsi="Times New Roman" w:cs="Times New Roman"/>
          <w:sz w:val="24"/>
          <w:szCs w:val="24"/>
        </w:rPr>
        <w:t>c). For 20-day forecasts, the most important non-technical feature is EPU which is different from PBW and ICLN where EPU ranks below VIX and OVX</w:t>
      </w:r>
      <w:r w:rsidR="00C02CDC">
        <w:rPr>
          <w:rFonts w:ascii="Times New Roman" w:hAnsi="Times New Roman" w:cs="Times New Roman"/>
          <w:sz w:val="24"/>
          <w:szCs w:val="24"/>
        </w:rPr>
        <w:t xml:space="preserve"> in terms of importance</w:t>
      </w:r>
      <w:r>
        <w:rPr>
          <w:rFonts w:ascii="Times New Roman" w:hAnsi="Times New Roman" w:cs="Times New Roman"/>
          <w:sz w:val="24"/>
          <w:szCs w:val="24"/>
        </w:rPr>
        <w:t xml:space="preserve">. </w:t>
      </w:r>
    </w:p>
    <w:p w14:paraId="6AC196B0" w14:textId="3046937E" w:rsidR="00C02CDC" w:rsidRDefault="00C02CDC" w:rsidP="00C02CD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Figures 6a, 6b, and 6c show variable importance calculated using the mean of the absolute Shapley value but these figures do not show the relationship between the sign of the feature values and importance. A bee</w:t>
      </w:r>
      <w:r w:rsidR="00C27097">
        <w:rPr>
          <w:rFonts w:ascii="Times New Roman" w:hAnsi="Times New Roman" w:cs="Times New Roman"/>
          <w:sz w:val="24"/>
          <w:szCs w:val="24"/>
        </w:rPr>
        <w:t xml:space="preserve"> </w:t>
      </w:r>
      <w:r>
        <w:rPr>
          <w:rFonts w:ascii="Times New Roman" w:hAnsi="Times New Roman" w:cs="Times New Roman"/>
          <w:sz w:val="24"/>
          <w:szCs w:val="24"/>
        </w:rPr>
        <w:t>swarm plot for PBW 20-day forecast S</w:t>
      </w:r>
      <w:r w:rsidR="00175825">
        <w:rPr>
          <w:rFonts w:ascii="Times New Roman" w:hAnsi="Times New Roman" w:cs="Times New Roman"/>
          <w:sz w:val="24"/>
          <w:szCs w:val="24"/>
        </w:rPr>
        <w:t>HAP</w:t>
      </w:r>
      <w:r>
        <w:rPr>
          <w:rFonts w:ascii="Times New Roman" w:hAnsi="Times New Roman" w:cs="Times New Roman"/>
          <w:sz w:val="24"/>
          <w:szCs w:val="24"/>
        </w:rPr>
        <w:t xml:space="preserve"> </w:t>
      </w:r>
      <w:r w:rsidR="00175825">
        <w:rPr>
          <w:rFonts w:ascii="Times New Roman" w:hAnsi="Times New Roman" w:cs="Times New Roman"/>
          <w:sz w:val="24"/>
          <w:szCs w:val="24"/>
        </w:rPr>
        <w:t xml:space="preserve">(Shapley additive explanations) </w:t>
      </w:r>
      <w:r>
        <w:rPr>
          <w:rFonts w:ascii="Times New Roman" w:hAnsi="Times New Roman" w:cs="Times New Roman"/>
          <w:sz w:val="24"/>
          <w:szCs w:val="24"/>
        </w:rPr>
        <w:t xml:space="preserve">variable importance is also revealing (Figure 7). The plot is organized so that the most important features are listed </w:t>
      </w:r>
      <w:r w:rsidR="00AA4AFA">
        <w:rPr>
          <w:rFonts w:ascii="Times New Roman" w:hAnsi="Times New Roman" w:cs="Times New Roman"/>
          <w:sz w:val="24"/>
          <w:szCs w:val="24"/>
        </w:rPr>
        <w:t xml:space="preserve">in order </w:t>
      </w:r>
      <w:r>
        <w:rPr>
          <w:rFonts w:ascii="Times New Roman" w:hAnsi="Times New Roman" w:cs="Times New Roman"/>
          <w:sz w:val="24"/>
          <w:szCs w:val="24"/>
        </w:rPr>
        <w:t xml:space="preserve">from the top to the bottom. The ranking of each feature in terms of importance in Figure 7 is the same as that in Figure 6a (bottom right) but Figure 7 includes additional information on the relationship between the importance and feature value. Figure 7 is color coded so that high feature values are warmer colors and low feature values are cooler colors. The most important feature is WAD and lower values of WAD have a greater importance. It is also the case that lower values for MA200 and MA50 have higher importance. </w:t>
      </w:r>
    </w:p>
    <w:p w14:paraId="4E92A49A" w14:textId="77777777" w:rsidR="00C02CDC" w:rsidRDefault="00C02CDC" w:rsidP="00513D4B">
      <w:pPr>
        <w:spacing w:after="0" w:line="480" w:lineRule="auto"/>
        <w:rPr>
          <w:rFonts w:ascii="Times New Roman" w:hAnsi="Times New Roman" w:cs="Times New Roman"/>
          <w:sz w:val="24"/>
          <w:szCs w:val="24"/>
        </w:rPr>
      </w:pPr>
    </w:p>
    <w:p w14:paraId="6E2C156B" w14:textId="77777777" w:rsidR="008149A8" w:rsidRDefault="008149A8" w:rsidP="00513D4B">
      <w:pPr>
        <w:spacing w:after="0" w:line="480" w:lineRule="auto"/>
        <w:rPr>
          <w:rFonts w:ascii="Times New Roman" w:hAnsi="Times New Roman" w:cs="Times New Roman"/>
          <w:sz w:val="24"/>
          <w:szCs w:val="24"/>
        </w:rPr>
      </w:pPr>
    </w:p>
    <w:p w14:paraId="12E126D0" w14:textId="629AC397" w:rsidR="008149A8" w:rsidRDefault="008149A8" w:rsidP="00513D4B">
      <w:pPr>
        <w:spacing w:after="0" w:line="480" w:lineRule="auto"/>
        <w:rPr>
          <w:rFonts w:ascii="Times New Roman" w:hAnsi="Times New Roman" w:cs="Times New Roman"/>
          <w:sz w:val="24"/>
          <w:szCs w:val="24"/>
        </w:rPr>
      </w:pPr>
    </w:p>
    <w:p w14:paraId="664E6360" w14:textId="77777777" w:rsidR="008149A8" w:rsidRDefault="008149A8" w:rsidP="00513D4B">
      <w:pPr>
        <w:spacing w:after="0" w:line="480" w:lineRule="auto"/>
        <w:rPr>
          <w:rFonts w:ascii="Times New Roman" w:hAnsi="Times New Roman" w:cs="Times New Roman"/>
          <w:sz w:val="24"/>
          <w:szCs w:val="24"/>
        </w:rPr>
      </w:pPr>
    </w:p>
    <w:p w14:paraId="75960DEF" w14:textId="18A19186" w:rsidR="00B43C3A" w:rsidRDefault="00B43C3A" w:rsidP="00513D4B">
      <w:pPr>
        <w:spacing w:after="0" w:line="480" w:lineRule="auto"/>
        <w:rPr>
          <w:rFonts w:ascii="Times New Roman" w:hAnsi="Times New Roman" w:cs="Times New Roman"/>
          <w:sz w:val="24"/>
          <w:szCs w:val="24"/>
        </w:rPr>
      </w:pPr>
    </w:p>
    <w:p w14:paraId="4EF56C3E" w14:textId="4CDAB585" w:rsidR="001732E5" w:rsidRDefault="001732E5" w:rsidP="00513D4B">
      <w:pPr>
        <w:spacing w:after="0" w:line="480" w:lineRule="auto"/>
        <w:rPr>
          <w:rFonts w:ascii="Times New Roman" w:hAnsi="Times New Roman" w:cs="Times New Roman"/>
          <w:sz w:val="24"/>
          <w:szCs w:val="24"/>
        </w:rPr>
      </w:pPr>
    </w:p>
    <w:p w14:paraId="4C90A067" w14:textId="77777777" w:rsidR="00704081" w:rsidRDefault="00704081" w:rsidP="00513D4B">
      <w:pPr>
        <w:spacing w:after="0" w:line="480" w:lineRule="auto"/>
        <w:rPr>
          <w:rFonts w:ascii="Times New Roman" w:hAnsi="Times New Roman" w:cs="Times New Roman"/>
          <w:sz w:val="24"/>
          <w:szCs w:val="24"/>
        </w:rPr>
      </w:pPr>
    </w:p>
    <w:p w14:paraId="5996EBA6" w14:textId="1C4EF58A" w:rsidR="009A67D2" w:rsidRDefault="005B43B6" w:rsidP="00323F1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25C8A">
        <w:rPr>
          <w:rFonts w:ascii="Times New Roman" w:hAnsi="Times New Roman" w:cs="Times New Roman"/>
          <w:sz w:val="24"/>
          <w:szCs w:val="24"/>
        </w:rPr>
        <w:t xml:space="preserve"> </w:t>
      </w:r>
    </w:p>
    <w:p w14:paraId="54A68E5A" w14:textId="444617F1" w:rsidR="004443C0" w:rsidRDefault="00305D8A" w:rsidP="00513D4B">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3B0101BA" w14:textId="4E49DD07" w:rsidR="004443C0" w:rsidRDefault="00852884" w:rsidP="00513D4B">
      <w:pPr>
        <w:spacing w:after="0" w:line="480" w:lineRule="auto"/>
        <w:rPr>
          <w:rFonts w:ascii="Times New Roman" w:hAnsi="Times New Roman" w:cs="Times New Roman"/>
          <w:sz w:val="24"/>
          <w:szCs w:val="24"/>
        </w:rPr>
      </w:pPr>
      <w:r>
        <w:rPr>
          <w:noProof/>
        </w:rPr>
        <w:lastRenderedPageBreak/>
        <w:drawing>
          <wp:inline distT="0" distB="0" distL="0" distR="0" wp14:anchorId="7552A29E" wp14:editId="315613FF">
            <wp:extent cx="5522595" cy="552259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2595" cy="5522595"/>
                    </a:xfrm>
                    <a:prstGeom prst="rect">
                      <a:avLst/>
                    </a:prstGeom>
                    <a:noFill/>
                    <a:ln>
                      <a:noFill/>
                    </a:ln>
                  </pic:spPr>
                </pic:pic>
              </a:graphicData>
            </a:graphic>
          </wp:inline>
        </w:drawing>
      </w:r>
    </w:p>
    <w:p w14:paraId="73042281" w14:textId="65E8F21B" w:rsidR="004443C0" w:rsidRDefault="004443C0" w:rsidP="004443C0">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 xml:space="preserve">Figure </w:t>
      </w:r>
      <w:r w:rsidR="003C6E58">
        <w:rPr>
          <w:rFonts w:ascii="Times New Roman" w:hAnsi="Times New Roman" w:cs="Times New Roman"/>
          <w:sz w:val="24"/>
          <w:szCs w:val="24"/>
          <w:lang w:bidi="en-US"/>
        </w:rPr>
        <w:t>7</w:t>
      </w:r>
      <w:r>
        <w:rPr>
          <w:rFonts w:ascii="Times New Roman" w:hAnsi="Times New Roman" w:cs="Times New Roman"/>
          <w:sz w:val="24"/>
          <w:szCs w:val="24"/>
          <w:lang w:bidi="en-US"/>
        </w:rPr>
        <w:t xml:space="preserve">. PBW </w:t>
      </w:r>
      <w:r w:rsidR="003C6E58">
        <w:rPr>
          <w:rFonts w:ascii="Times New Roman" w:hAnsi="Times New Roman" w:cs="Times New Roman"/>
          <w:sz w:val="24"/>
          <w:szCs w:val="24"/>
          <w:lang w:bidi="en-US"/>
        </w:rPr>
        <w:t>S</w:t>
      </w:r>
      <w:r w:rsidR="00175825">
        <w:rPr>
          <w:rFonts w:ascii="Times New Roman" w:hAnsi="Times New Roman" w:cs="Times New Roman"/>
          <w:sz w:val="24"/>
          <w:szCs w:val="24"/>
          <w:lang w:bidi="en-US"/>
        </w:rPr>
        <w:t>HAP</w:t>
      </w:r>
      <w:r w:rsidR="003C6E58">
        <w:rPr>
          <w:rFonts w:ascii="Times New Roman" w:hAnsi="Times New Roman" w:cs="Times New Roman"/>
          <w:sz w:val="24"/>
          <w:szCs w:val="24"/>
          <w:lang w:bidi="en-US"/>
        </w:rPr>
        <w:t xml:space="preserve"> </w:t>
      </w:r>
      <w:r>
        <w:rPr>
          <w:rFonts w:ascii="Times New Roman" w:hAnsi="Times New Roman" w:cs="Times New Roman"/>
          <w:sz w:val="24"/>
          <w:szCs w:val="24"/>
          <w:lang w:bidi="en-US"/>
        </w:rPr>
        <w:t>variable importance</w:t>
      </w:r>
      <w:r w:rsidR="00AF3950">
        <w:rPr>
          <w:rFonts w:ascii="Times New Roman" w:hAnsi="Times New Roman" w:cs="Times New Roman"/>
          <w:sz w:val="24"/>
          <w:szCs w:val="24"/>
          <w:lang w:bidi="en-US"/>
        </w:rPr>
        <w:t xml:space="preserve"> (random forest 20</w:t>
      </w:r>
      <w:r w:rsidR="00854E2B">
        <w:rPr>
          <w:rFonts w:ascii="Times New Roman" w:hAnsi="Times New Roman" w:cs="Times New Roman"/>
          <w:sz w:val="24"/>
          <w:szCs w:val="24"/>
          <w:lang w:bidi="en-US"/>
        </w:rPr>
        <w:t>-</w:t>
      </w:r>
      <w:r w:rsidR="00AF3950">
        <w:rPr>
          <w:rFonts w:ascii="Times New Roman" w:hAnsi="Times New Roman" w:cs="Times New Roman"/>
          <w:sz w:val="24"/>
          <w:szCs w:val="24"/>
          <w:lang w:bidi="en-US"/>
        </w:rPr>
        <w:t>day forecast)</w:t>
      </w:r>
      <w:r>
        <w:rPr>
          <w:rFonts w:ascii="Times New Roman" w:hAnsi="Times New Roman" w:cs="Times New Roman"/>
          <w:sz w:val="24"/>
          <w:szCs w:val="24"/>
          <w:lang w:bidi="en-US"/>
        </w:rPr>
        <w:t>.</w:t>
      </w:r>
    </w:p>
    <w:p w14:paraId="6692CF6C" w14:textId="77777777" w:rsidR="00A32CC2" w:rsidRDefault="00A32CC2" w:rsidP="00F068FD">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39CE4099" w14:textId="3B42F855" w:rsidR="0069037E" w:rsidRDefault="0069037E" w:rsidP="00F068F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E5C1A">
        <w:rPr>
          <w:rFonts w:ascii="Times New Roman" w:hAnsi="Times New Roman" w:cs="Times New Roman"/>
          <w:sz w:val="24"/>
          <w:szCs w:val="24"/>
        </w:rPr>
        <w:t>In the case of ICLN and QCLN, lower values of WAD, MA200, and MA50 have greater importance (</w:t>
      </w:r>
      <w:r>
        <w:rPr>
          <w:rFonts w:ascii="Times New Roman" w:hAnsi="Times New Roman" w:cs="Times New Roman"/>
          <w:sz w:val="24"/>
          <w:szCs w:val="24"/>
        </w:rPr>
        <w:t>Figure</w:t>
      </w:r>
      <w:r w:rsidR="002E5C1A">
        <w:rPr>
          <w:rFonts w:ascii="Times New Roman" w:hAnsi="Times New Roman" w:cs="Times New Roman"/>
          <w:sz w:val="24"/>
          <w:szCs w:val="24"/>
        </w:rPr>
        <w:t>s 8 and 9). For each of PBW, ICLN, and QCLN, higher values of VIX tend to have more importance than lower values (Figures 7 – 9).</w:t>
      </w:r>
      <w:r>
        <w:rPr>
          <w:rFonts w:ascii="Times New Roman" w:hAnsi="Times New Roman" w:cs="Times New Roman"/>
          <w:sz w:val="24"/>
          <w:szCs w:val="24"/>
        </w:rPr>
        <w:t xml:space="preserve"> </w:t>
      </w:r>
      <w:r w:rsidR="00B003FA">
        <w:rPr>
          <w:rFonts w:ascii="Times New Roman" w:hAnsi="Times New Roman" w:cs="Times New Roman"/>
          <w:sz w:val="24"/>
          <w:szCs w:val="24"/>
        </w:rPr>
        <w:t xml:space="preserve">These results on VIX are supportive of the findings by </w:t>
      </w:r>
      <w:r w:rsidR="00B003FA">
        <w:rPr>
          <w:rFonts w:ascii="Times New Roman" w:hAnsi="Times New Roman" w:cs="Times New Roman"/>
          <w:sz w:val="24"/>
          <w:szCs w:val="24"/>
        </w:rPr>
        <w:t xml:space="preserve">Chakrabarti and Sen </w:t>
      </w:r>
      <w:r w:rsidR="00B003FA">
        <w:rPr>
          <w:rFonts w:ascii="Times New Roman" w:hAnsi="Times New Roman" w:cs="Times New Roman"/>
          <w:sz w:val="24"/>
          <w:szCs w:val="24"/>
        </w:rPr>
        <w:fldChar w:fldCharType="begin"/>
      </w:r>
      <w:r w:rsidR="00B003FA">
        <w:rPr>
          <w:rFonts w:ascii="Times New Roman" w:hAnsi="Times New Roman" w:cs="Times New Roman"/>
          <w:sz w:val="24"/>
          <w:szCs w:val="24"/>
        </w:rPr>
        <w:instrText xml:space="preserve"> ADDIN ZOTERO_ITEM CSL_CITATION {"citationID":"1AmJDTqv","properties":{"formattedCitation":"(2021)","plainCitation":"(2021)","noteIndex":0},"citationItems":[{"id":4144,"uris":["http://zotero.org/users/5823779/items/S7CFB3SY"],"itemData":{"id":4144,"type":"article-journal","abstract":"We examine the nature of the time-varying market risk of investment in green stocks across US, Europe, and the Asia-Paciﬁc region, particularly during the periods of two recent global crises, 2007e08’s great recession and the recent SARS-CoV-2 crisis. We further explore the transmission mechanism of such risks, through both exogenous and endogenous channels. Time varying beta (TVB) is used to capture the risk. Suitable multivariate-GARCH model and CMAX method are used to locate exogenous channels in local and global markets. Finally, we explore the endogenous volatility channel examining deterministic chaos in the data. Results show that the US and European green stocks have signiﬁcant volatility spillover from the local market. They are also strongly integrated with global market. For the Asia-Paciﬁc green stocks, there is no spillover from the local market. However, they are weakly integrated with the global market. In US and Europe, global crisis weakens ﬁnancial integration, insulating from global market ﬂuctuations. But in Asia-Paciﬁc market, global crises strengthen ﬁnancial integration. The defensive green stocks exhibited remarkable resilience during both crises. The apparent resilience may attract investment in green stocks. Green stocks may be safe, but only apparently. The risk of green stocks lies in its chaotic nature that makes it endogenous to the system. With such chaotic market risks, an unfavorable reversal in investment optimism is possible. This calls for more caution for investors before investing in green stocks.","container-title":"Journal of Cleaner Production","DOI":"10.1016/j.jclepro.2021.127028","ISSN":"09596526","journalAbbreviation":"Journal of Cleaner Production","language":"en","page":"127028","source":"DOI.org (Crossref)","title":"Dynamic market risk of green stocks across regions: Where does the devil lie?","title-short":"Dynamic market risk of green stocks across regions","volume":"303","author":[{"family":"Chakrabarti","given":"Gagari"},{"family":"Sen","given":"Chitrakalpa"}],"issued":{"date-parts":[["2021",6]]}},"suppress-author":true}],"schema":"https://github.com/citation-style-language/schema/raw/master/csl-citation.json"} </w:instrText>
      </w:r>
      <w:r w:rsidR="00B003FA">
        <w:rPr>
          <w:rFonts w:ascii="Times New Roman" w:hAnsi="Times New Roman" w:cs="Times New Roman"/>
          <w:sz w:val="24"/>
          <w:szCs w:val="24"/>
        </w:rPr>
        <w:fldChar w:fldCharType="separate"/>
      </w:r>
      <w:r w:rsidR="00B003FA" w:rsidRPr="00E504DD">
        <w:rPr>
          <w:rFonts w:ascii="Times New Roman" w:hAnsi="Times New Roman" w:cs="Times New Roman"/>
          <w:sz w:val="24"/>
        </w:rPr>
        <w:t>(2021)</w:t>
      </w:r>
      <w:r w:rsidR="00B003FA">
        <w:rPr>
          <w:rFonts w:ascii="Times New Roman" w:hAnsi="Times New Roman" w:cs="Times New Roman"/>
          <w:sz w:val="24"/>
          <w:szCs w:val="24"/>
        </w:rPr>
        <w:fldChar w:fldCharType="end"/>
      </w:r>
      <w:r w:rsidR="00B003FA">
        <w:rPr>
          <w:rFonts w:ascii="Times New Roman" w:hAnsi="Times New Roman" w:cs="Times New Roman"/>
          <w:sz w:val="24"/>
          <w:szCs w:val="24"/>
        </w:rPr>
        <w:t xml:space="preserve"> </w:t>
      </w:r>
      <w:r w:rsidR="00B003FA">
        <w:rPr>
          <w:rFonts w:ascii="Times New Roman" w:hAnsi="Times New Roman" w:cs="Times New Roman"/>
          <w:sz w:val="24"/>
          <w:szCs w:val="24"/>
        </w:rPr>
        <w:t>who</w:t>
      </w:r>
      <w:r w:rsidR="00B003FA">
        <w:rPr>
          <w:rFonts w:ascii="Times New Roman" w:hAnsi="Times New Roman" w:cs="Times New Roman"/>
          <w:sz w:val="24"/>
          <w:szCs w:val="24"/>
        </w:rPr>
        <w:t xml:space="preserve"> find that green stocks </w:t>
      </w:r>
      <w:r w:rsidR="00B003FA">
        <w:rPr>
          <w:rFonts w:ascii="Times New Roman" w:hAnsi="Times New Roman" w:cs="Times New Roman"/>
          <w:sz w:val="24"/>
          <w:szCs w:val="24"/>
        </w:rPr>
        <w:t>offer protection against downside risks</w:t>
      </w:r>
      <w:r w:rsidR="00B003FA">
        <w:rPr>
          <w:rFonts w:ascii="Times New Roman" w:hAnsi="Times New Roman" w:cs="Times New Roman"/>
          <w:sz w:val="24"/>
          <w:szCs w:val="24"/>
        </w:rPr>
        <w:t>.</w:t>
      </w:r>
    </w:p>
    <w:p w14:paraId="7A0A44D6" w14:textId="76FFBAEE" w:rsidR="004443C0" w:rsidRDefault="004443C0" w:rsidP="00F068FD">
      <w:pPr>
        <w:spacing w:after="0" w:line="480" w:lineRule="auto"/>
        <w:rPr>
          <w:rFonts w:ascii="Times New Roman" w:hAnsi="Times New Roman" w:cs="Times New Roman"/>
          <w:sz w:val="24"/>
          <w:szCs w:val="24"/>
        </w:rPr>
      </w:pPr>
    </w:p>
    <w:p w14:paraId="4BB32523" w14:textId="791AAD13" w:rsidR="004443C0" w:rsidRDefault="00852884" w:rsidP="00F068FD">
      <w:pPr>
        <w:spacing w:after="0" w:line="480" w:lineRule="auto"/>
        <w:rPr>
          <w:rFonts w:ascii="Times New Roman" w:hAnsi="Times New Roman" w:cs="Times New Roman"/>
          <w:sz w:val="24"/>
          <w:szCs w:val="24"/>
        </w:rPr>
      </w:pPr>
      <w:r>
        <w:rPr>
          <w:noProof/>
        </w:rPr>
        <w:drawing>
          <wp:inline distT="0" distB="0" distL="0" distR="0" wp14:anchorId="7A11650D" wp14:editId="36731C8A">
            <wp:extent cx="5522595" cy="552259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2595" cy="5522595"/>
                    </a:xfrm>
                    <a:prstGeom prst="rect">
                      <a:avLst/>
                    </a:prstGeom>
                    <a:noFill/>
                    <a:ln>
                      <a:noFill/>
                    </a:ln>
                  </pic:spPr>
                </pic:pic>
              </a:graphicData>
            </a:graphic>
          </wp:inline>
        </w:drawing>
      </w:r>
    </w:p>
    <w:p w14:paraId="6BD3AE8D" w14:textId="005C328A" w:rsidR="004443C0" w:rsidRDefault="004443C0" w:rsidP="00F068FD">
      <w:pPr>
        <w:spacing w:after="0" w:line="480" w:lineRule="auto"/>
        <w:rPr>
          <w:rFonts w:ascii="Times New Roman" w:hAnsi="Times New Roman" w:cs="Times New Roman"/>
          <w:sz w:val="24"/>
          <w:szCs w:val="24"/>
        </w:rPr>
      </w:pPr>
    </w:p>
    <w:p w14:paraId="475561E6" w14:textId="31999D02" w:rsidR="004443C0" w:rsidRDefault="004443C0" w:rsidP="00F068FD">
      <w:pPr>
        <w:spacing w:after="0" w:line="480" w:lineRule="auto"/>
        <w:rPr>
          <w:rFonts w:ascii="Times New Roman" w:hAnsi="Times New Roman" w:cs="Times New Roman"/>
          <w:sz w:val="24"/>
          <w:szCs w:val="24"/>
        </w:rPr>
      </w:pPr>
    </w:p>
    <w:p w14:paraId="3492CE8D" w14:textId="2A41F76E" w:rsidR="004443C0" w:rsidRDefault="004443C0" w:rsidP="004443C0">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 xml:space="preserve">Figure 8. </w:t>
      </w:r>
      <w:r w:rsidR="00852884">
        <w:rPr>
          <w:rFonts w:ascii="Times New Roman" w:hAnsi="Times New Roman" w:cs="Times New Roman"/>
          <w:sz w:val="24"/>
          <w:szCs w:val="24"/>
          <w:lang w:bidi="en-US"/>
        </w:rPr>
        <w:t>ICLN S</w:t>
      </w:r>
      <w:r w:rsidR="00175825">
        <w:rPr>
          <w:rFonts w:ascii="Times New Roman" w:hAnsi="Times New Roman" w:cs="Times New Roman"/>
          <w:sz w:val="24"/>
          <w:szCs w:val="24"/>
          <w:lang w:bidi="en-US"/>
        </w:rPr>
        <w:t>HAP</w:t>
      </w:r>
      <w:r w:rsidR="00852884">
        <w:rPr>
          <w:rFonts w:ascii="Times New Roman" w:hAnsi="Times New Roman" w:cs="Times New Roman"/>
          <w:sz w:val="24"/>
          <w:szCs w:val="24"/>
          <w:lang w:bidi="en-US"/>
        </w:rPr>
        <w:t xml:space="preserve"> variable importance</w:t>
      </w:r>
      <w:r w:rsidR="00AF3950">
        <w:rPr>
          <w:rFonts w:ascii="Times New Roman" w:hAnsi="Times New Roman" w:cs="Times New Roman"/>
          <w:sz w:val="24"/>
          <w:szCs w:val="24"/>
          <w:lang w:bidi="en-US"/>
        </w:rPr>
        <w:t xml:space="preserve"> (random forest 20 </w:t>
      </w:r>
      <w:r w:rsidR="00854E2B">
        <w:rPr>
          <w:rFonts w:ascii="Times New Roman" w:hAnsi="Times New Roman" w:cs="Times New Roman"/>
          <w:sz w:val="24"/>
          <w:szCs w:val="24"/>
          <w:lang w:bidi="en-US"/>
        </w:rPr>
        <w:t>-</w:t>
      </w:r>
      <w:r w:rsidR="00AF3950">
        <w:rPr>
          <w:rFonts w:ascii="Times New Roman" w:hAnsi="Times New Roman" w:cs="Times New Roman"/>
          <w:sz w:val="24"/>
          <w:szCs w:val="24"/>
          <w:lang w:bidi="en-US"/>
        </w:rPr>
        <w:t>day forecast)</w:t>
      </w:r>
      <w:r w:rsidR="00852884">
        <w:rPr>
          <w:rFonts w:ascii="Times New Roman" w:hAnsi="Times New Roman" w:cs="Times New Roman"/>
          <w:sz w:val="24"/>
          <w:szCs w:val="24"/>
          <w:lang w:bidi="en-US"/>
        </w:rPr>
        <w:t>.</w:t>
      </w:r>
    </w:p>
    <w:p w14:paraId="6D291124" w14:textId="0BE9D9D2" w:rsidR="004443C0" w:rsidRDefault="004443C0" w:rsidP="00F068FD">
      <w:pPr>
        <w:spacing w:after="0" w:line="480" w:lineRule="auto"/>
        <w:rPr>
          <w:rFonts w:ascii="Times New Roman" w:hAnsi="Times New Roman" w:cs="Times New Roman"/>
          <w:sz w:val="24"/>
          <w:szCs w:val="24"/>
        </w:rPr>
      </w:pPr>
    </w:p>
    <w:p w14:paraId="2556038A" w14:textId="6C881485" w:rsidR="00852884" w:rsidRDefault="00852884" w:rsidP="00F068FD">
      <w:pPr>
        <w:spacing w:after="0" w:line="480" w:lineRule="auto"/>
        <w:rPr>
          <w:rFonts w:ascii="Times New Roman" w:hAnsi="Times New Roman" w:cs="Times New Roman"/>
          <w:sz w:val="24"/>
          <w:szCs w:val="24"/>
        </w:rPr>
      </w:pPr>
      <w:r>
        <w:rPr>
          <w:noProof/>
        </w:rPr>
        <w:lastRenderedPageBreak/>
        <w:drawing>
          <wp:inline distT="0" distB="0" distL="0" distR="0" wp14:anchorId="1BA39E75" wp14:editId="7C3A8833">
            <wp:extent cx="5522595" cy="5522595"/>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2595" cy="5522595"/>
                    </a:xfrm>
                    <a:prstGeom prst="rect">
                      <a:avLst/>
                    </a:prstGeom>
                    <a:noFill/>
                    <a:ln>
                      <a:noFill/>
                    </a:ln>
                  </pic:spPr>
                </pic:pic>
              </a:graphicData>
            </a:graphic>
          </wp:inline>
        </w:drawing>
      </w:r>
    </w:p>
    <w:p w14:paraId="0D07F715" w14:textId="20480227" w:rsidR="00852884" w:rsidRDefault="00852884" w:rsidP="00852884">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lang w:bidi="en-US"/>
        </w:rPr>
        <w:t>Figure 9. QCLN S</w:t>
      </w:r>
      <w:r w:rsidR="00175825">
        <w:rPr>
          <w:rFonts w:ascii="Times New Roman" w:hAnsi="Times New Roman" w:cs="Times New Roman"/>
          <w:sz w:val="24"/>
          <w:szCs w:val="24"/>
          <w:lang w:bidi="en-US"/>
        </w:rPr>
        <w:t>HAP</w:t>
      </w:r>
      <w:r>
        <w:rPr>
          <w:rFonts w:ascii="Times New Roman" w:hAnsi="Times New Roman" w:cs="Times New Roman"/>
          <w:sz w:val="24"/>
          <w:szCs w:val="24"/>
          <w:lang w:bidi="en-US"/>
        </w:rPr>
        <w:t xml:space="preserve"> variable importance</w:t>
      </w:r>
      <w:r w:rsidR="00AF3950">
        <w:rPr>
          <w:rFonts w:ascii="Times New Roman" w:hAnsi="Times New Roman" w:cs="Times New Roman"/>
          <w:sz w:val="24"/>
          <w:szCs w:val="24"/>
          <w:lang w:bidi="en-US"/>
        </w:rPr>
        <w:t xml:space="preserve"> (random forest 20</w:t>
      </w:r>
      <w:r w:rsidR="00854E2B">
        <w:rPr>
          <w:rFonts w:ascii="Times New Roman" w:hAnsi="Times New Roman" w:cs="Times New Roman"/>
          <w:sz w:val="24"/>
          <w:szCs w:val="24"/>
          <w:lang w:bidi="en-US"/>
        </w:rPr>
        <w:t>-</w:t>
      </w:r>
      <w:r w:rsidR="00AF3950">
        <w:rPr>
          <w:rFonts w:ascii="Times New Roman" w:hAnsi="Times New Roman" w:cs="Times New Roman"/>
          <w:sz w:val="24"/>
          <w:szCs w:val="24"/>
          <w:lang w:bidi="en-US"/>
        </w:rPr>
        <w:t>day forecast)</w:t>
      </w:r>
      <w:r>
        <w:rPr>
          <w:rFonts w:ascii="Times New Roman" w:hAnsi="Times New Roman" w:cs="Times New Roman"/>
          <w:sz w:val="24"/>
          <w:szCs w:val="24"/>
          <w:lang w:bidi="en-US"/>
        </w:rPr>
        <w:t>.</w:t>
      </w:r>
    </w:p>
    <w:p w14:paraId="7B5528B7" w14:textId="77777777" w:rsidR="00852884" w:rsidRDefault="00852884" w:rsidP="00F068FD">
      <w:pPr>
        <w:spacing w:after="0" w:line="480" w:lineRule="auto"/>
        <w:rPr>
          <w:rFonts w:ascii="Times New Roman" w:hAnsi="Times New Roman" w:cs="Times New Roman"/>
          <w:sz w:val="24"/>
          <w:szCs w:val="24"/>
        </w:rPr>
      </w:pPr>
    </w:p>
    <w:p w14:paraId="533B7536" w14:textId="66943C9F" w:rsidR="007C1842" w:rsidRDefault="0051194A" w:rsidP="00323F1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23F17">
        <w:rPr>
          <w:rFonts w:ascii="Times New Roman" w:hAnsi="Times New Roman" w:cs="Times New Roman"/>
          <w:sz w:val="24"/>
          <w:szCs w:val="24"/>
        </w:rPr>
        <w:t xml:space="preserve">The </w:t>
      </w:r>
      <w:r w:rsidR="002E5C1A">
        <w:rPr>
          <w:rFonts w:ascii="Times New Roman" w:hAnsi="Times New Roman" w:cs="Times New Roman"/>
          <w:sz w:val="24"/>
          <w:szCs w:val="24"/>
        </w:rPr>
        <w:t xml:space="preserve">analysis reported so far has relied on </w:t>
      </w:r>
      <w:r w:rsidR="00010054">
        <w:rPr>
          <w:rFonts w:ascii="Times New Roman" w:hAnsi="Times New Roman" w:cs="Times New Roman"/>
          <w:sz w:val="24"/>
          <w:szCs w:val="24"/>
        </w:rPr>
        <w:t xml:space="preserve">cross-validation (CV) where the data is </w:t>
      </w:r>
      <w:r w:rsidR="00323F17">
        <w:rPr>
          <w:rFonts w:ascii="Times New Roman" w:hAnsi="Times New Roman" w:cs="Times New Roman"/>
          <w:sz w:val="24"/>
          <w:szCs w:val="24"/>
        </w:rPr>
        <w:t xml:space="preserve">randomly split into a training data set </w:t>
      </w:r>
      <w:r w:rsidR="003467AF">
        <w:rPr>
          <w:rFonts w:ascii="Times New Roman" w:hAnsi="Times New Roman" w:cs="Times New Roman"/>
          <w:sz w:val="24"/>
          <w:szCs w:val="24"/>
        </w:rPr>
        <w:t xml:space="preserve">(70% of the data) </w:t>
      </w:r>
      <w:r w:rsidR="00323F17">
        <w:rPr>
          <w:rFonts w:ascii="Times New Roman" w:hAnsi="Times New Roman" w:cs="Times New Roman"/>
          <w:sz w:val="24"/>
          <w:szCs w:val="24"/>
        </w:rPr>
        <w:t>and a test data set</w:t>
      </w:r>
      <w:r w:rsidR="003467AF">
        <w:rPr>
          <w:rFonts w:ascii="Times New Roman" w:hAnsi="Times New Roman" w:cs="Times New Roman"/>
          <w:sz w:val="24"/>
          <w:szCs w:val="24"/>
        </w:rPr>
        <w:t xml:space="preserve"> (30% of the data)</w:t>
      </w:r>
      <w:r w:rsidR="00323F17">
        <w:rPr>
          <w:rFonts w:ascii="Times New Roman" w:hAnsi="Times New Roman" w:cs="Times New Roman"/>
          <w:sz w:val="24"/>
          <w:szCs w:val="24"/>
        </w:rPr>
        <w:t xml:space="preserve">. </w:t>
      </w:r>
      <w:r w:rsidR="00AC79A1">
        <w:rPr>
          <w:rFonts w:ascii="Times New Roman" w:hAnsi="Times New Roman" w:cs="Times New Roman"/>
          <w:sz w:val="24"/>
          <w:szCs w:val="24"/>
        </w:rPr>
        <w:t xml:space="preserve">This approach may be problematic for time series data </w:t>
      </w:r>
      <w:r w:rsidR="00323F17">
        <w:rPr>
          <w:rFonts w:ascii="Times New Roman" w:hAnsi="Times New Roman" w:cs="Times New Roman"/>
          <w:sz w:val="24"/>
          <w:szCs w:val="24"/>
        </w:rPr>
        <w:t xml:space="preserve">unless </w:t>
      </w:r>
      <w:r w:rsidR="007C1842">
        <w:rPr>
          <w:rFonts w:ascii="Times New Roman" w:hAnsi="Times New Roman" w:cs="Times New Roman"/>
          <w:sz w:val="24"/>
          <w:szCs w:val="24"/>
        </w:rPr>
        <w:t xml:space="preserve">the time series properties of the data are preserved. This is not likely a problem </w:t>
      </w:r>
      <w:r w:rsidR="00010054">
        <w:rPr>
          <w:rFonts w:ascii="Times New Roman" w:hAnsi="Times New Roman" w:cs="Times New Roman"/>
          <w:sz w:val="24"/>
          <w:szCs w:val="24"/>
        </w:rPr>
        <w:t xml:space="preserve">for the applicating in this paper </w:t>
      </w:r>
      <w:r w:rsidR="007C1842">
        <w:rPr>
          <w:rFonts w:ascii="Times New Roman" w:hAnsi="Times New Roman" w:cs="Times New Roman"/>
          <w:sz w:val="24"/>
          <w:szCs w:val="24"/>
        </w:rPr>
        <w:t xml:space="preserve">because the models used </w:t>
      </w:r>
      <w:r w:rsidR="007C1842">
        <w:rPr>
          <w:rFonts w:ascii="Times New Roman" w:hAnsi="Times New Roman" w:cs="Times New Roman"/>
          <w:sz w:val="24"/>
          <w:szCs w:val="24"/>
        </w:rPr>
        <w:lastRenderedPageBreak/>
        <w:t xml:space="preserve">in this paper use a classification dependent variable with technical indicators as features which contain important time series information.   </w:t>
      </w:r>
    </w:p>
    <w:p w14:paraId="16A482D0" w14:textId="07CEF49B" w:rsidR="00010054" w:rsidRDefault="00323F17" w:rsidP="00323F1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79A1">
        <w:rPr>
          <w:rFonts w:ascii="Times New Roman" w:hAnsi="Times New Roman" w:cs="Times New Roman"/>
          <w:sz w:val="24"/>
          <w:szCs w:val="24"/>
        </w:rPr>
        <w:t>To gain further insight</w:t>
      </w:r>
      <w:r>
        <w:rPr>
          <w:rFonts w:ascii="Times New Roman" w:hAnsi="Times New Roman" w:cs="Times New Roman"/>
          <w:sz w:val="24"/>
          <w:szCs w:val="24"/>
        </w:rPr>
        <w:t xml:space="preserve">, </w:t>
      </w:r>
      <w:r w:rsidR="00010054">
        <w:rPr>
          <w:rFonts w:ascii="Times New Roman" w:hAnsi="Times New Roman" w:cs="Times New Roman"/>
          <w:sz w:val="24"/>
          <w:szCs w:val="24"/>
        </w:rPr>
        <w:t>time-series cross-validation (</w:t>
      </w:r>
      <w:proofErr w:type="spellStart"/>
      <w:r w:rsidR="00010054">
        <w:rPr>
          <w:rFonts w:ascii="Times New Roman" w:hAnsi="Times New Roman" w:cs="Times New Roman"/>
          <w:sz w:val="24"/>
          <w:szCs w:val="24"/>
        </w:rPr>
        <w:t>tsCV</w:t>
      </w:r>
      <w:proofErr w:type="spellEnd"/>
      <w:r w:rsidR="00010054">
        <w:rPr>
          <w:rFonts w:ascii="Times New Roman" w:hAnsi="Times New Roman" w:cs="Times New Roman"/>
          <w:sz w:val="24"/>
          <w:szCs w:val="24"/>
        </w:rPr>
        <w:t>) was applied to the</w:t>
      </w:r>
      <w:r>
        <w:rPr>
          <w:rFonts w:ascii="Times New Roman" w:hAnsi="Times New Roman" w:cs="Times New Roman"/>
          <w:sz w:val="24"/>
          <w:szCs w:val="24"/>
        </w:rPr>
        <w:t xml:space="preserve"> random forests model</w:t>
      </w:r>
      <w:r w:rsidR="00010054">
        <w:rPr>
          <w:rFonts w:ascii="Times New Roman" w:hAnsi="Times New Roman" w:cs="Times New Roman"/>
          <w:sz w:val="24"/>
          <w:szCs w:val="24"/>
        </w:rPr>
        <w:t xml:space="preserve">. </w:t>
      </w:r>
      <w:r>
        <w:rPr>
          <w:rFonts w:ascii="Times New Roman" w:hAnsi="Times New Roman" w:cs="Times New Roman"/>
          <w:sz w:val="24"/>
          <w:szCs w:val="24"/>
        </w:rPr>
        <w:t xml:space="preserve"> </w:t>
      </w:r>
      <w:r w:rsidR="00B003FA">
        <w:rPr>
          <w:rFonts w:ascii="Times New Roman" w:hAnsi="Times New Roman" w:cs="Times New Roman"/>
          <w:sz w:val="24"/>
          <w:szCs w:val="24"/>
        </w:rPr>
        <w:t xml:space="preserve">With </w:t>
      </w:r>
      <w:proofErr w:type="spellStart"/>
      <w:r w:rsidR="00B003FA">
        <w:rPr>
          <w:rFonts w:ascii="Times New Roman" w:hAnsi="Times New Roman" w:cs="Times New Roman"/>
          <w:sz w:val="24"/>
          <w:szCs w:val="24"/>
        </w:rPr>
        <w:t>tsCV</w:t>
      </w:r>
      <w:proofErr w:type="spellEnd"/>
      <w:r w:rsidR="00B003FA">
        <w:rPr>
          <w:rFonts w:ascii="Times New Roman" w:hAnsi="Times New Roman" w:cs="Times New Roman"/>
          <w:sz w:val="24"/>
          <w:szCs w:val="24"/>
        </w:rPr>
        <w:t>, the training set occurs immediately prior to the test set. A fixed rolling window approach was used where t</w:t>
      </w:r>
      <w:r w:rsidR="00010054">
        <w:rPr>
          <w:rFonts w:ascii="Times New Roman" w:hAnsi="Times New Roman" w:cs="Times New Roman"/>
          <w:sz w:val="24"/>
          <w:szCs w:val="24"/>
        </w:rPr>
        <w:t xml:space="preserve">he length of the rolling window was fixed to use 70% of the data. </w:t>
      </w:r>
      <w:r>
        <w:rPr>
          <w:rFonts w:ascii="Times New Roman" w:hAnsi="Times New Roman" w:cs="Times New Roman"/>
          <w:sz w:val="24"/>
          <w:szCs w:val="24"/>
        </w:rPr>
        <w:t xml:space="preserve">The random forests model is </w:t>
      </w:r>
      <w:r w:rsidR="00625D2B">
        <w:rPr>
          <w:rFonts w:ascii="Times New Roman" w:hAnsi="Times New Roman" w:cs="Times New Roman"/>
          <w:sz w:val="24"/>
          <w:szCs w:val="24"/>
        </w:rPr>
        <w:t>selected</w:t>
      </w:r>
      <w:r>
        <w:rPr>
          <w:rFonts w:ascii="Times New Roman" w:hAnsi="Times New Roman" w:cs="Times New Roman"/>
          <w:sz w:val="24"/>
          <w:szCs w:val="24"/>
        </w:rPr>
        <w:t xml:space="preserve"> because it has high accuracy over all forecast horizons and is easy to use to calculate variable importance. </w:t>
      </w:r>
    </w:p>
    <w:p w14:paraId="3E83FFF0" w14:textId="62CF2D9F" w:rsidR="00FE3C57" w:rsidRDefault="00FE3C57" w:rsidP="00323F1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5D2B">
        <w:rPr>
          <w:rFonts w:ascii="Times New Roman" w:hAnsi="Times New Roman" w:cs="Times New Roman"/>
          <w:sz w:val="24"/>
          <w:szCs w:val="24"/>
        </w:rPr>
        <w:t>The prediction a</w:t>
      </w:r>
      <w:r>
        <w:rPr>
          <w:rFonts w:ascii="Times New Roman" w:hAnsi="Times New Roman" w:cs="Times New Roman"/>
          <w:sz w:val="24"/>
          <w:szCs w:val="24"/>
        </w:rPr>
        <w:t xml:space="preserve">ccuracy from </w:t>
      </w:r>
      <w:proofErr w:type="spellStart"/>
      <w:r>
        <w:rPr>
          <w:rFonts w:ascii="Times New Roman" w:hAnsi="Times New Roman" w:cs="Times New Roman"/>
          <w:sz w:val="24"/>
          <w:szCs w:val="24"/>
        </w:rPr>
        <w:t>tsCV</w:t>
      </w:r>
      <w:proofErr w:type="spellEnd"/>
      <w:r>
        <w:rPr>
          <w:rFonts w:ascii="Times New Roman" w:hAnsi="Times New Roman" w:cs="Times New Roman"/>
          <w:sz w:val="24"/>
          <w:szCs w:val="24"/>
        </w:rPr>
        <w:t xml:space="preserve"> is very similar to that from the CV (Table 2). For PBW, CV accuracy is 0.8992 while for </w:t>
      </w:r>
      <w:proofErr w:type="spellStart"/>
      <w:r>
        <w:rPr>
          <w:rFonts w:ascii="Times New Roman" w:hAnsi="Times New Roman" w:cs="Times New Roman"/>
          <w:sz w:val="24"/>
          <w:szCs w:val="24"/>
        </w:rPr>
        <w:t>tsCV</w:t>
      </w:r>
      <w:proofErr w:type="spellEnd"/>
      <w:r>
        <w:rPr>
          <w:rFonts w:ascii="Times New Roman" w:hAnsi="Times New Roman" w:cs="Times New Roman"/>
          <w:sz w:val="24"/>
          <w:szCs w:val="24"/>
        </w:rPr>
        <w:t xml:space="preserve"> it is 0.9020. </w:t>
      </w:r>
      <w:r w:rsidR="00826FA5">
        <w:rPr>
          <w:rFonts w:ascii="Times New Roman" w:hAnsi="Times New Roman" w:cs="Times New Roman"/>
          <w:sz w:val="24"/>
          <w:szCs w:val="24"/>
        </w:rPr>
        <w:t xml:space="preserve">For ICLN, CV accuracy is 0.9012 while for </w:t>
      </w:r>
      <w:proofErr w:type="spellStart"/>
      <w:r w:rsidR="00826FA5">
        <w:rPr>
          <w:rFonts w:ascii="Times New Roman" w:hAnsi="Times New Roman" w:cs="Times New Roman"/>
          <w:sz w:val="24"/>
          <w:szCs w:val="24"/>
        </w:rPr>
        <w:t>tsCV</w:t>
      </w:r>
      <w:proofErr w:type="spellEnd"/>
      <w:r w:rsidR="00826FA5">
        <w:rPr>
          <w:rFonts w:ascii="Times New Roman" w:hAnsi="Times New Roman" w:cs="Times New Roman"/>
          <w:sz w:val="24"/>
          <w:szCs w:val="24"/>
        </w:rPr>
        <w:t xml:space="preserve"> it is 0.9040. For QCLN, CV accuracy is 0.8901 while for </w:t>
      </w:r>
      <w:proofErr w:type="spellStart"/>
      <w:r w:rsidR="00826FA5">
        <w:rPr>
          <w:rFonts w:ascii="Times New Roman" w:hAnsi="Times New Roman" w:cs="Times New Roman"/>
          <w:sz w:val="24"/>
          <w:szCs w:val="24"/>
        </w:rPr>
        <w:t>tsCV</w:t>
      </w:r>
      <w:proofErr w:type="spellEnd"/>
      <w:r w:rsidR="00826FA5">
        <w:rPr>
          <w:rFonts w:ascii="Times New Roman" w:hAnsi="Times New Roman" w:cs="Times New Roman"/>
          <w:sz w:val="24"/>
          <w:szCs w:val="24"/>
        </w:rPr>
        <w:t xml:space="preserve"> it is 0.8737.</w:t>
      </w:r>
      <w:r w:rsidR="00CD358B">
        <w:rPr>
          <w:rFonts w:ascii="Times New Roman" w:hAnsi="Times New Roman" w:cs="Times New Roman"/>
          <w:sz w:val="24"/>
          <w:szCs w:val="24"/>
        </w:rPr>
        <w:t xml:space="preserve"> </w:t>
      </w:r>
      <w:r w:rsidR="007E186C">
        <w:rPr>
          <w:rFonts w:ascii="Times New Roman" w:hAnsi="Times New Roman" w:cs="Times New Roman"/>
          <w:sz w:val="24"/>
          <w:szCs w:val="24"/>
        </w:rPr>
        <w:t xml:space="preserve">For each ETF, the CV and </w:t>
      </w:r>
      <w:proofErr w:type="spellStart"/>
      <w:r w:rsidR="007E186C">
        <w:rPr>
          <w:rFonts w:ascii="Times New Roman" w:hAnsi="Times New Roman" w:cs="Times New Roman"/>
          <w:sz w:val="24"/>
          <w:szCs w:val="24"/>
        </w:rPr>
        <w:t>tsCV</w:t>
      </w:r>
      <w:proofErr w:type="spellEnd"/>
      <w:r w:rsidR="007E186C">
        <w:rPr>
          <w:rFonts w:ascii="Times New Roman" w:hAnsi="Times New Roman" w:cs="Times New Roman"/>
          <w:sz w:val="24"/>
          <w:szCs w:val="24"/>
        </w:rPr>
        <w:t xml:space="preserve"> approaches yield similar values for predictive accuracy.</w:t>
      </w:r>
      <w:r w:rsidR="00B003FA">
        <w:rPr>
          <w:rFonts w:ascii="Times New Roman" w:hAnsi="Times New Roman" w:cs="Times New Roman"/>
          <w:sz w:val="24"/>
          <w:szCs w:val="24"/>
        </w:rPr>
        <w:t xml:space="preserve"> </w:t>
      </w:r>
      <w:r w:rsidR="00B56392">
        <w:rPr>
          <w:rFonts w:ascii="Times New Roman" w:hAnsi="Times New Roman" w:cs="Times New Roman"/>
          <w:sz w:val="24"/>
          <w:szCs w:val="24"/>
        </w:rPr>
        <w:t xml:space="preserve">Although not reported, </w:t>
      </w:r>
      <w:r w:rsidR="00B56392">
        <w:rPr>
          <w:rFonts w:ascii="Times New Roman" w:hAnsi="Times New Roman" w:cs="Times New Roman"/>
          <w:sz w:val="24"/>
          <w:szCs w:val="24"/>
        </w:rPr>
        <w:t xml:space="preserve">the CV and </w:t>
      </w:r>
      <w:proofErr w:type="spellStart"/>
      <w:r w:rsidR="00B56392">
        <w:rPr>
          <w:rFonts w:ascii="Times New Roman" w:hAnsi="Times New Roman" w:cs="Times New Roman"/>
          <w:sz w:val="24"/>
          <w:szCs w:val="24"/>
        </w:rPr>
        <w:t>tsCV</w:t>
      </w:r>
      <w:proofErr w:type="spellEnd"/>
      <w:r w:rsidR="00B56392">
        <w:rPr>
          <w:rFonts w:ascii="Times New Roman" w:hAnsi="Times New Roman" w:cs="Times New Roman"/>
          <w:sz w:val="24"/>
          <w:szCs w:val="24"/>
        </w:rPr>
        <w:t xml:space="preserve"> approaches yield similar values for predictive accuracy</w:t>
      </w:r>
      <w:r w:rsidR="00B56392">
        <w:rPr>
          <w:rFonts w:ascii="Times New Roman" w:hAnsi="Times New Roman" w:cs="Times New Roman"/>
          <w:sz w:val="24"/>
          <w:szCs w:val="24"/>
        </w:rPr>
        <w:t xml:space="preserve"> for the Extra Trees</w:t>
      </w:r>
      <w:r w:rsidR="00B56392">
        <w:rPr>
          <w:rFonts w:ascii="Times New Roman" w:hAnsi="Times New Roman" w:cs="Times New Roman"/>
          <w:sz w:val="24"/>
          <w:szCs w:val="24"/>
        </w:rPr>
        <w:t>.</w:t>
      </w:r>
      <w:r w:rsidR="00B56392">
        <w:rPr>
          <w:rFonts w:ascii="Times New Roman" w:hAnsi="Times New Roman" w:cs="Times New Roman"/>
          <w:sz w:val="24"/>
          <w:szCs w:val="24"/>
        </w:rPr>
        <w:t xml:space="preserve"> This shows that the accuracy measures are robust to the choice of data splitting (CV or </w:t>
      </w:r>
      <w:proofErr w:type="spellStart"/>
      <w:r w:rsidR="00B56392">
        <w:rPr>
          <w:rFonts w:ascii="Times New Roman" w:hAnsi="Times New Roman" w:cs="Times New Roman"/>
          <w:sz w:val="24"/>
          <w:szCs w:val="24"/>
        </w:rPr>
        <w:t>tsCV</w:t>
      </w:r>
      <w:proofErr w:type="spellEnd"/>
      <w:r w:rsidR="00B56392">
        <w:rPr>
          <w:rFonts w:ascii="Times New Roman" w:hAnsi="Times New Roman" w:cs="Times New Roman"/>
          <w:sz w:val="24"/>
          <w:szCs w:val="24"/>
        </w:rPr>
        <w:t>).</w:t>
      </w:r>
    </w:p>
    <w:p w14:paraId="5CF399AD" w14:textId="77777777" w:rsidR="00323F17" w:rsidRDefault="00323F17" w:rsidP="00323F17">
      <w:pPr>
        <w:spacing w:after="0" w:line="480" w:lineRule="auto"/>
        <w:rPr>
          <w:rFonts w:ascii="Times New Roman" w:hAnsi="Times New Roman" w:cs="Times New Roman"/>
          <w:sz w:val="24"/>
          <w:szCs w:val="24"/>
        </w:rPr>
      </w:pPr>
    </w:p>
    <w:p w14:paraId="085B6D26" w14:textId="77777777" w:rsidR="00323F17" w:rsidRDefault="00323F17" w:rsidP="00323F17">
      <w:pPr>
        <w:spacing w:after="0" w:line="240" w:lineRule="auto"/>
        <w:rPr>
          <w:rFonts w:ascii="Times New Roman" w:hAnsi="Times New Roman" w:cs="Times New Roman"/>
          <w:sz w:val="24"/>
          <w:szCs w:val="24"/>
        </w:rPr>
      </w:pPr>
      <w:r w:rsidRPr="00064660">
        <w:rPr>
          <w:rFonts w:ascii="Times New Roman" w:hAnsi="Times New Roman" w:cs="Times New Roman"/>
          <w:sz w:val="24"/>
          <w:szCs w:val="24"/>
        </w:rPr>
        <w:t xml:space="preserve">Table </w:t>
      </w:r>
      <w:r>
        <w:rPr>
          <w:rFonts w:ascii="Times New Roman" w:hAnsi="Times New Roman" w:cs="Times New Roman"/>
          <w:sz w:val="24"/>
          <w:szCs w:val="24"/>
        </w:rPr>
        <w:t>2</w:t>
      </w:r>
      <w:r w:rsidRPr="00064660">
        <w:rPr>
          <w:rFonts w:ascii="Times New Roman" w:hAnsi="Times New Roman" w:cs="Times New Roman"/>
          <w:sz w:val="24"/>
          <w:szCs w:val="24"/>
        </w:rPr>
        <w:t xml:space="preserve">. </w:t>
      </w:r>
      <w:r>
        <w:rPr>
          <w:rFonts w:ascii="Times New Roman" w:hAnsi="Times New Roman" w:cs="Times New Roman"/>
          <w:sz w:val="24"/>
          <w:szCs w:val="24"/>
        </w:rPr>
        <w:t xml:space="preserve">Comparing random forest prediction accuracy from CV and </w:t>
      </w:r>
      <w:proofErr w:type="spellStart"/>
      <w:r>
        <w:rPr>
          <w:rFonts w:ascii="Times New Roman" w:hAnsi="Times New Roman" w:cs="Times New Roman"/>
          <w:sz w:val="24"/>
          <w:szCs w:val="24"/>
        </w:rPr>
        <w:t>tsCV</w:t>
      </w:r>
      <w:proofErr w:type="spellEnd"/>
      <w:r>
        <w:rPr>
          <w:rFonts w:ascii="Times New Roman" w:hAnsi="Times New Roman" w:cs="Times New Roman"/>
          <w:sz w:val="24"/>
          <w:szCs w:val="24"/>
        </w:rPr>
        <w:t>.</w:t>
      </w:r>
    </w:p>
    <w:p w14:paraId="3677027A" w14:textId="77777777" w:rsidR="00323F17" w:rsidRDefault="00323F17" w:rsidP="00323F17">
      <w:pPr>
        <w:spacing w:after="0" w:line="240" w:lineRule="auto"/>
        <w:rPr>
          <w:rFonts w:ascii="Times New Roman" w:hAnsi="Times New Roman" w:cs="Times New Roman"/>
          <w:sz w:val="24"/>
          <w:szCs w:val="24"/>
        </w:rPr>
      </w:pPr>
    </w:p>
    <w:tbl>
      <w:tblPr>
        <w:tblW w:w="4780" w:type="dxa"/>
        <w:tblLook w:val="04A0" w:firstRow="1" w:lastRow="0" w:firstColumn="1" w:lastColumn="0" w:noHBand="0" w:noVBand="1"/>
      </w:tblPr>
      <w:tblGrid>
        <w:gridCol w:w="1900"/>
        <w:gridCol w:w="960"/>
        <w:gridCol w:w="960"/>
        <w:gridCol w:w="960"/>
      </w:tblGrid>
      <w:tr w:rsidR="00323F17" w:rsidRPr="00F30E5C" w14:paraId="1F90E06D" w14:textId="77777777" w:rsidTr="00F82568">
        <w:trPr>
          <w:trHeight w:val="320"/>
        </w:trPr>
        <w:tc>
          <w:tcPr>
            <w:tcW w:w="1900" w:type="dxa"/>
            <w:tcBorders>
              <w:top w:val="single" w:sz="8" w:space="0" w:color="auto"/>
              <w:left w:val="nil"/>
              <w:bottom w:val="nil"/>
              <w:right w:val="nil"/>
            </w:tcBorders>
            <w:shd w:val="clear" w:color="auto" w:fill="auto"/>
            <w:vAlign w:val="center"/>
            <w:hideMark/>
          </w:tcPr>
          <w:p w14:paraId="0EA6DA97" w14:textId="77777777" w:rsidR="00323F17" w:rsidRPr="00F30E5C" w:rsidRDefault="00323F17" w:rsidP="00F82568">
            <w:pPr>
              <w:spacing w:after="0" w:line="240" w:lineRule="auto"/>
              <w:rPr>
                <w:rFonts w:ascii="Times New Roman" w:eastAsia="Times New Roman" w:hAnsi="Times New Roman" w:cs="Times New Roman"/>
                <w:color w:val="000000"/>
                <w:sz w:val="24"/>
                <w:szCs w:val="24"/>
              </w:rPr>
            </w:pPr>
            <w:r w:rsidRPr="00F30E5C">
              <w:rPr>
                <w:rFonts w:ascii="Times New Roman" w:eastAsia="Times New Roman" w:hAnsi="Times New Roman" w:cs="Times New Roman"/>
                <w:color w:val="000000"/>
                <w:sz w:val="24"/>
                <w:szCs w:val="24"/>
              </w:rPr>
              <w:t> </w:t>
            </w:r>
          </w:p>
        </w:tc>
        <w:tc>
          <w:tcPr>
            <w:tcW w:w="960" w:type="dxa"/>
            <w:tcBorders>
              <w:top w:val="single" w:sz="8" w:space="0" w:color="auto"/>
              <w:left w:val="nil"/>
              <w:bottom w:val="nil"/>
              <w:right w:val="nil"/>
            </w:tcBorders>
            <w:shd w:val="clear" w:color="auto" w:fill="auto"/>
            <w:vAlign w:val="center"/>
            <w:hideMark/>
          </w:tcPr>
          <w:p w14:paraId="321C8549" w14:textId="77777777" w:rsidR="00323F17" w:rsidRPr="00F30E5C" w:rsidRDefault="00323F17" w:rsidP="00F82568">
            <w:pPr>
              <w:spacing w:after="0" w:line="240" w:lineRule="auto"/>
              <w:jc w:val="center"/>
              <w:rPr>
                <w:rFonts w:ascii="Times New Roman" w:eastAsia="Times New Roman" w:hAnsi="Times New Roman" w:cs="Times New Roman"/>
                <w:color w:val="000000"/>
                <w:sz w:val="24"/>
                <w:szCs w:val="24"/>
              </w:rPr>
            </w:pPr>
            <w:r w:rsidRPr="00F30E5C">
              <w:rPr>
                <w:rFonts w:ascii="Times New Roman" w:eastAsia="Times New Roman" w:hAnsi="Times New Roman" w:cs="Times New Roman"/>
                <w:color w:val="000000"/>
                <w:sz w:val="24"/>
                <w:szCs w:val="24"/>
              </w:rPr>
              <w:t> </w:t>
            </w:r>
          </w:p>
        </w:tc>
        <w:tc>
          <w:tcPr>
            <w:tcW w:w="960" w:type="dxa"/>
            <w:tcBorders>
              <w:top w:val="single" w:sz="8" w:space="0" w:color="auto"/>
              <w:left w:val="nil"/>
              <w:bottom w:val="single" w:sz="8" w:space="0" w:color="auto"/>
              <w:right w:val="nil"/>
            </w:tcBorders>
            <w:shd w:val="clear" w:color="auto" w:fill="auto"/>
            <w:vAlign w:val="center"/>
            <w:hideMark/>
          </w:tcPr>
          <w:p w14:paraId="0B31FE5D" w14:textId="77777777" w:rsidR="00323F17" w:rsidRPr="00F30E5C" w:rsidRDefault="00323F17" w:rsidP="00F82568">
            <w:pPr>
              <w:spacing w:after="0" w:line="240" w:lineRule="auto"/>
              <w:jc w:val="center"/>
              <w:rPr>
                <w:rFonts w:ascii="Times New Roman" w:eastAsia="Times New Roman" w:hAnsi="Times New Roman" w:cs="Times New Roman"/>
                <w:color w:val="000000"/>
                <w:sz w:val="24"/>
                <w:szCs w:val="24"/>
              </w:rPr>
            </w:pPr>
            <w:r w:rsidRPr="00F30E5C">
              <w:rPr>
                <w:rFonts w:ascii="Times New Roman" w:eastAsia="Times New Roman" w:hAnsi="Times New Roman" w:cs="Times New Roman"/>
                <w:color w:val="000000"/>
                <w:sz w:val="24"/>
                <w:szCs w:val="24"/>
              </w:rPr>
              <w:t>20-day</w:t>
            </w:r>
          </w:p>
        </w:tc>
        <w:tc>
          <w:tcPr>
            <w:tcW w:w="960" w:type="dxa"/>
            <w:tcBorders>
              <w:top w:val="single" w:sz="8" w:space="0" w:color="auto"/>
              <w:left w:val="nil"/>
              <w:bottom w:val="single" w:sz="8" w:space="0" w:color="auto"/>
              <w:right w:val="nil"/>
            </w:tcBorders>
            <w:shd w:val="clear" w:color="auto" w:fill="auto"/>
            <w:vAlign w:val="center"/>
            <w:hideMark/>
          </w:tcPr>
          <w:p w14:paraId="17F7FC25" w14:textId="77777777" w:rsidR="00323F17" w:rsidRPr="00F30E5C" w:rsidRDefault="00323F17" w:rsidP="00F82568">
            <w:pPr>
              <w:spacing w:after="0" w:line="240" w:lineRule="auto"/>
              <w:jc w:val="center"/>
              <w:rPr>
                <w:rFonts w:ascii="Times New Roman" w:eastAsia="Times New Roman" w:hAnsi="Times New Roman" w:cs="Times New Roman"/>
                <w:color w:val="000000"/>
                <w:sz w:val="24"/>
                <w:szCs w:val="24"/>
              </w:rPr>
            </w:pPr>
            <w:r w:rsidRPr="00F30E5C">
              <w:rPr>
                <w:rFonts w:ascii="Times New Roman" w:eastAsia="Times New Roman" w:hAnsi="Times New Roman" w:cs="Times New Roman"/>
                <w:color w:val="000000"/>
                <w:sz w:val="24"/>
                <w:szCs w:val="24"/>
              </w:rPr>
              <w:t>20-day</w:t>
            </w:r>
          </w:p>
        </w:tc>
      </w:tr>
      <w:tr w:rsidR="00323F17" w:rsidRPr="00F30E5C" w14:paraId="2CCB66B7" w14:textId="77777777" w:rsidTr="00F82568">
        <w:trPr>
          <w:trHeight w:val="320"/>
        </w:trPr>
        <w:tc>
          <w:tcPr>
            <w:tcW w:w="1900" w:type="dxa"/>
            <w:tcBorders>
              <w:top w:val="nil"/>
              <w:left w:val="nil"/>
              <w:bottom w:val="single" w:sz="8" w:space="0" w:color="auto"/>
              <w:right w:val="nil"/>
            </w:tcBorders>
            <w:shd w:val="clear" w:color="auto" w:fill="auto"/>
            <w:vAlign w:val="center"/>
            <w:hideMark/>
          </w:tcPr>
          <w:p w14:paraId="13FE65EE" w14:textId="77777777" w:rsidR="00323F17" w:rsidRPr="00F30E5C" w:rsidRDefault="00323F17" w:rsidP="00F82568">
            <w:pPr>
              <w:spacing w:after="0" w:line="240" w:lineRule="auto"/>
              <w:rPr>
                <w:rFonts w:ascii="Times New Roman" w:eastAsia="Times New Roman" w:hAnsi="Times New Roman" w:cs="Times New Roman"/>
                <w:color w:val="000000"/>
                <w:sz w:val="24"/>
                <w:szCs w:val="24"/>
              </w:rPr>
            </w:pPr>
            <w:r w:rsidRPr="00F30E5C">
              <w:rPr>
                <w:rFonts w:ascii="Times New Roman" w:eastAsia="Times New Roman" w:hAnsi="Times New Roman" w:cs="Times New Roman"/>
                <w:color w:val="000000"/>
                <w:sz w:val="24"/>
                <w:szCs w:val="24"/>
              </w:rPr>
              <w:t> </w:t>
            </w:r>
          </w:p>
        </w:tc>
        <w:tc>
          <w:tcPr>
            <w:tcW w:w="960" w:type="dxa"/>
            <w:tcBorders>
              <w:top w:val="nil"/>
              <w:left w:val="nil"/>
              <w:bottom w:val="single" w:sz="8" w:space="0" w:color="auto"/>
              <w:right w:val="nil"/>
            </w:tcBorders>
            <w:shd w:val="clear" w:color="auto" w:fill="auto"/>
            <w:vAlign w:val="center"/>
            <w:hideMark/>
          </w:tcPr>
          <w:p w14:paraId="21991502" w14:textId="77777777" w:rsidR="00323F17" w:rsidRPr="00F30E5C" w:rsidRDefault="00323F17" w:rsidP="00F82568">
            <w:pPr>
              <w:spacing w:after="0" w:line="240" w:lineRule="auto"/>
              <w:jc w:val="center"/>
              <w:rPr>
                <w:rFonts w:ascii="Times New Roman" w:eastAsia="Times New Roman" w:hAnsi="Times New Roman" w:cs="Times New Roman"/>
                <w:color w:val="000000"/>
                <w:sz w:val="24"/>
                <w:szCs w:val="24"/>
              </w:rPr>
            </w:pPr>
            <w:r w:rsidRPr="00F30E5C">
              <w:rPr>
                <w:rFonts w:ascii="Times New Roman" w:eastAsia="Times New Roman" w:hAnsi="Times New Roman" w:cs="Times New Roman"/>
                <w:color w:val="000000"/>
                <w:sz w:val="24"/>
                <w:szCs w:val="24"/>
              </w:rPr>
              <w:t> </w:t>
            </w:r>
          </w:p>
        </w:tc>
        <w:tc>
          <w:tcPr>
            <w:tcW w:w="960" w:type="dxa"/>
            <w:tcBorders>
              <w:top w:val="nil"/>
              <w:left w:val="nil"/>
              <w:bottom w:val="single" w:sz="8" w:space="0" w:color="auto"/>
              <w:right w:val="nil"/>
            </w:tcBorders>
            <w:shd w:val="clear" w:color="auto" w:fill="auto"/>
            <w:vAlign w:val="center"/>
            <w:hideMark/>
          </w:tcPr>
          <w:p w14:paraId="08C7B463" w14:textId="77777777" w:rsidR="00323F17" w:rsidRPr="00F30E5C" w:rsidRDefault="00323F17" w:rsidP="00F82568">
            <w:pPr>
              <w:spacing w:after="0" w:line="240" w:lineRule="auto"/>
              <w:jc w:val="center"/>
              <w:rPr>
                <w:rFonts w:ascii="Times New Roman" w:eastAsia="Times New Roman" w:hAnsi="Times New Roman" w:cs="Times New Roman"/>
                <w:color w:val="000000"/>
                <w:sz w:val="24"/>
                <w:szCs w:val="24"/>
              </w:rPr>
            </w:pPr>
            <w:r w:rsidRPr="00F30E5C">
              <w:rPr>
                <w:rFonts w:ascii="Times New Roman" w:eastAsia="Times New Roman" w:hAnsi="Times New Roman" w:cs="Times New Roman"/>
                <w:color w:val="000000"/>
                <w:sz w:val="24"/>
                <w:szCs w:val="24"/>
              </w:rPr>
              <w:t>CV</w:t>
            </w:r>
          </w:p>
        </w:tc>
        <w:tc>
          <w:tcPr>
            <w:tcW w:w="960" w:type="dxa"/>
            <w:tcBorders>
              <w:top w:val="nil"/>
              <w:left w:val="nil"/>
              <w:bottom w:val="single" w:sz="8" w:space="0" w:color="auto"/>
              <w:right w:val="nil"/>
            </w:tcBorders>
            <w:shd w:val="clear" w:color="auto" w:fill="auto"/>
            <w:vAlign w:val="center"/>
            <w:hideMark/>
          </w:tcPr>
          <w:p w14:paraId="705FF874" w14:textId="77777777" w:rsidR="00323F17" w:rsidRPr="00F30E5C" w:rsidRDefault="00323F17" w:rsidP="00F82568">
            <w:pPr>
              <w:spacing w:after="0" w:line="240" w:lineRule="auto"/>
              <w:jc w:val="center"/>
              <w:rPr>
                <w:rFonts w:ascii="Times New Roman" w:eastAsia="Times New Roman" w:hAnsi="Times New Roman" w:cs="Times New Roman"/>
                <w:color w:val="000000"/>
                <w:sz w:val="24"/>
                <w:szCs w:val="24"/>
              </w:rPr>
            </w:pPr>
            <w:proofErr w:type="spellStart"/>
            <w:r w:rsidRPr="00F30E5C">
              <w:rPr>
                <w:rFonts w:ascii="Times New Roman" w:eastAsia="Times New Roman" w:hAnsi="Times New Roman" w:cs="Times New Roman"/>
                <w:color w:val="000000"/>
                <w:sz w:val="24"/>
                <w:szCs w:val="24"/>
              </w:rPr>
              <w:t>tsCV</w:t>
            </w:r>
            <w:proofErr w:type="spellEnd"/>
          </w:p>
        </w:tc>
      </w:tr>
      <w:tr w:rsidR="00323F17" w:rsidRPr="00F30E5C" w14:paraId="5E85147C" w14:textId="77777777" w:rsidTr="00F82568">
        <w:trPr>
          <w:gridAfter w:val="3"/>
          <w:wAfter w:w="2880" w:type="dxa"/>
          <w:trHeight w:val="310"/>
        </w:trPr>
        <w:tc>
          <w:tcPr>
            <w:tcW w:w="1900" w:type="dxa"/>
            <w:tcBorders>
              <w:top w:val="nil"/>
              <w:left w:val="nil"/>
              <w:bottom w:val="nil"/>
              <w:right w:val="nil"/>
            </w:tcBorders>
            <w:shd w:val="clear" w:color="auto" w:fill="auto"/>
            <w:vAlign w:val="center"/>
            <w:hideMark/>
          </w:tcPr>
          <w:p w14:paraId="1230359A" w14:textId="77777777" w:rsidR="00323F17" w:rsidRPr="00F30E5C" w:rsidRDefault="00323F17" w:rsidP="00F825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PBW</w:t>
            </w:r>
          </w:p>
        </w:tc>
      </w:tr>
      <w:tr w:rsidR="00323F17" w:rsidRPr="00F30E5C" w14:paraId="3E6C3BEE" w14:textId="77777777" w:rsidTr="00F82568">
        <w:trPr>
          <w:trHeight w:val="310"/>
        </w:trPr>
        <w:tc>
          <w:tcPr>
            <w:tcW w:w="1900" w:type="dxa"/>
            <w:tcBorders>
              <w:top w:val="nil"/>
              <w:left w:val="nil"/>
              <w:bottom w:val="nil"/>
              <w:right w:val="nil"/>
            </w:tcBorders>
            <w:shd w:val="clear" w:color="auto" w:fill="auto"/>
            <w:vAlign w:val="center"/>
            <w:hideMark/>
          </w:tcPr>
          <w:p w14:paraId="326FB416" w14:textId="77777777" w:rsidR="00323F17" w:rsidRPr="00F30E5C" w:rsidRDefault="00323F17" w:rsidP="00F82568">
            <w:pPr>
              <w:spacing w:after="0" w:line="240" w:lineRule="auto"/>
              <w:rPr>
                <w:rFonts w:ascii="Times New Roman" w:eastAsia="Times New Roman" w:hAnsi="Times New Roman" w:cs="Times New Roman"/>
                <w:color w:val="000000"/>
                <w:sz w:val="24"/>
                <w:szCs w:val="24"/>
              </w:rPr>
            </w:pPr>
            <w:r w:rsidRPr="00F30E5C">
              <w:rPr>
                <w:rFonts w:ascii="Times New Roman" w:eastAsia="Times New Roman" w:hAnsi="Times New Roman" w:cs="Times New Roman"/>
                <w:color w:val="000000"/>
                <w:sz w:val="24"/>
                <w:szCs w:val="24"/>
              </w:rPr>
              <w:t>Accuracy</w:t>
            </w:r>
          </w:p>
        </w:tc>
        <w:tc>
          <w:tcPr>
            <w:tcW w:w="960" w:type="dxa"/>
            <w:tcBorders>
              <w:top w:val="nil"/>
              <w:left w:val="nil"/>
              <w:bottom w:val="nil"/>
              <w:right w:val="nil"/>
            </w:tcBorders>
            <w:shd w:val="clear" w:color="auto" w:fill="auto"/>
            <w:vAlign w:val="center"/>
            <w:hideMark/>
          </w:tcPr>
          <w:p w14:paraId="025C7E12" w14:textId="77777777" w:rsidR="00323F17" w:rsidRPr="00F30E5C" w:rsidRDefault="00323F17" w:rsidP="00F82568">
            <w:pPr>
              <w:spacing w:after="0" w:line="240" w:lineRule="auto"/>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vAlign w:val="bottom"/>
            <w:hideMark/>
          </w:tcPr>
          <w:p w14:paraId="315D365B" w14:textId="77777777" w:rsidR="00323F17" w:rsidRPr="0009062E" w:rsidRDefault="00323F17" w:rsidP="00F82568">
            <w:pPr>
              <w:spacing w:after="0" w:line="240" w:lineRule="auto"/>
              <w:jc w:val="center"/>
              <w:rPr>
                <w:rFonts w:ascii="Times New Roman" w:eastAsia="Times New Roman" w:hAnsi="Times New Roman" w:cs="Times New Roman"/>
                <w:color w:val="000000"/>
                <w:sz w:val="24"/>
                <w:szCs w:val="24"/>
              </w:rPr>
            </w:pPr>
            <w:r w:rsidRPr="0009062E">
              <w:rPr>
                <w:rFonts w:ascii="Times New Roman" w:hAnsi="Times New Roman" w:cs="Times New Roman"/>
                <w:color w:val="000000"/>
                <w:sz w:val="24"/>
                <w:szCs w:val="24"/>
              </w:rPr>
              <w:t>0.8992</w:t>
            </w:r>
          </w:p>
        </w:tc>
        <w:tc>
          <w:tcPr>
            <w:tcW w:w="960" w:type="dxa"/>
            <w:tcBorders>
              <w:top w:val="nil"/>
              <w:left w:val="nil"/>
              <w:bottom w:val="nil"/>
              <w:right w:val="nil"/>
            </w:tcBorders>
            <w:shd w:val="clear" w:color="auto" w:fill="auto"/>
            <w:vAlign w:val="center"/>
          </w:tcPr>
          <w:p w14:paraId="5FFB1547" w14:textId="202D8900" w:rsidR="00323F17" w:rsidRPr="0009062E" w:rsidRDefault="005C2B86" w:rsidP="00F82568">
            <w:pPr>
              <w:spacing w:after="0" w:line="240" w:lineRule="auto"/>
              <w:jc w:val="center"/>
              <w:rPr>
                <w:rFonts w:ascii="Times New Roman" w:eastAsia="Times New Roman" w:hAnsi="Times New Roman" w:cs="Times New Roman"/>
                <w:color w:val="000000"/>
                <w:sz w:val="24"/>
                <w:szCs w:val="24"/>
              </w:rPr>
            </w:pPr>
            <w:r w:rsidRPr="0009062E">
              <w:rPr>
                <w:rFonts w:ascii="Times New Roman" w:eastAsia="Times New Roman" w:hAnsi="Times New Roman" w:cs="Times New Roman"/>
                <w:color w:val="000000"/>
                <w:sz w:val="24"/>
                <w:szCs w:val="24"/>
              </w:rPr>
              <w:t>0.9020</w:t>
            </w:r>
          </w:p>
        </w:tc>
      </w:tr>
      <w:tr w:rsidR="00323F17" w:rsidRPr="00F30E5C" w14:paraId="163F7967" w14:textId="77777777" w:rsidTr="00F82568">
        <w:trPr>
          <w:trHeight w:val="310"/>
        </w:trPr>
        <w:tc>
          <w:tcPr>
            <w:tcW w:w="1900" w:type="dxa"/>
            <w:tcBorders>
              <w:top w:val="nil"/>
              <w:left w:val="nil"/>
              <w:bottom w:val="nil"/>
              <w:right w:val="nil"/>
            </w:tcBorders>
            <w:shd w:val="clear" w:color="auto" w:fill="auto"/>
            <w:vAlign w:val="center"/>
            <w:hideMark/>
          </w:tcPr>
          <w:p w14:paraId="5943EBF5" w14:textId="38F75BB5" w:rsidR="00323F17" w:rsidRPr="00F30E5C" w:rsidRDefault="00323F17" w:rsidP="00F82568">
            <w:pPr>
              <w:spacing w:after="0" w:line="240" w:lineRule="auto"/>
              <w:rPr>
                <w:rFonts w:ascii="Times New Roman" w:eastAsia="Times New Roman" w:hAnsi="Times New Roman" w:cs="Times New Roman"/>
                <w:color w:val="000000"/>
                <w:sz w:val="24"/>
                <w:szCs w:val="24"/>
              </w:rPr>
            </w:pPr>
            <w:r w:rsidRPr="00F30E5C">
              <w:rPr>
                <w:rFonts w:ascii="Times New Roman" w:eastAsia="Times New Roman" w:hAnsi="Times New Roman" w:cs="Times New Roman"/>
                <w:color w:val="000000"/>
                <w:sz w:val="24"/>
                <w:szCs w:val="24"/>
              </w:rPr>
              <w:t>Kappa</w:t>
            </w:r>
          </w:p>
        </w:tc>
        <w:tc>
          <w:tcPr>
            <w:tcW w:w="960" w:type="dxa"/>
            <w:tcBorders>
              <w:top w:val="nil"/>
              <w:left w:val="nil"/>
              <w:bottom w:val="nil"/>
              <w:right w:val="nil"/>
            </w:tcBorders>
            <w:shd w:val="clear" w:color="auto" w:fill="auto"/>
            <w:vAlign w:val="center"/>
            <w:hideMark/>
          </w:tcPr>
          <w:p w14:paraId="1DBFEF52" w14:textId="77777777" w:rsidR="00323F17" w:rsidRPr="00F30E5C" w:rsidRDefault="00323F17" w:rsidP="00F82568">
            <w:pPr>
              <w:spacing w:after="0" w:line="240" w:lineRule="auto"/>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vAlign w:val="bottom"/>
            <w:hideMark/>
          </w:tcPr>
          <w:p w14:paraId="674CE40B" w14:textId="77777777" w:rsidR="00323F17" w:rsidRPr="0009062E" w:rsidRDefault="00323F17" w:rsidP="00F82568">
            <w:pPr>
              <w:spacing w:after="0" w:line="240" w:lineRule="auto"/>
              <w:jc w:val="center"/>
              <w:rPr>
                <w:rFonts w:ascii="Times New Roman" w:eastAsia="Times New Roman" w:hAnsi="Times New Roman" w:cs="Times New Roman"/>
                <w:color w:val="000000"/>
                <w:sz w:val="24"/>
                <w:szCs w:val="24"/>
              </w:rPr>
            </w:pPr>
            <w:r w:rsidRPr="0009062E">
              <w:rPr>
                <w:rFonts w:ascii="Times New Roman" w:hAnsi="Times New Roman" w:cs="Times New Roman"/>
                <w:color w:val="000000"/>
                <w:sz w:val="24"/>
                <w:szCs w:val="24"/>
              </w:rPr>
              <w:t>0.7972</w:t>
            </w:r>
          </w:p>
        </w:tc>
        <w:tc>
          <w:tcPr>
            <w:tcW w:w="960" w:type="dxa"/>
            <w:tcBorders>
              <w:top w:val="nil"/>
              <w:left w:val="nil"/>
              <w:bottom w:val="nil"/>
              <w:right w:val="nil"/>
            </w:tcBorders>
            <w:shd w:val="clear" w:color="auto" w:fill="auto"/>
            <w:vAlign w:val="center"/>
          </w:tcPr>
          <w:p w14:paraId="0BD5703D" w14:textId="31CA50DF" w:rsidR="00323F17" w:rsidRPr="0009062E" w:rsidRDefault="005C2B86" w:rsidP="00F82568">
            <w:pPr>
              <w:spacing w:after="0" w:line="240" w:lineRule="auto"/>
              <w:jc w:val="center"/>
              <w:rPr>
                <w:rFonts w:ascii="Times New Roman" w:eastAsia="Times New Roman" w:hAnsi="Times New Roman" w:cs="Times New Roman"/>
                <w:color w:val="000000"/>
                <w:sz w:val="24"/>
                <w:szCs w:val="24"/>
              </w:rPr>
            </w:pPr>
            <w:r w:rsidRPr="0009062E">
              <w:rPr>
                <w:rFonts w:ascii="Times New Roman" w:eastAsia="Times New Roman" w:hAnsi="Times New Roman" w:cs="Times New Roman"/>
                <w:color w:val="000000"/>
                <w:sz w:val="24"/>
                <w:szCs w:val="24"/>
              </w:rPr>
              <w:t>0.7960</w:t>
            </w:r>
          </w:p>
        </w:tc>
      </w:tr>
      <w:tr w:rsidR="00323F17" w:rsidRPr="00F30E5C" w14:paraId="75AC92AE" w14:textId="77777777" w:rsidTr="00F82568">
        <w:trPr>
          <w:trHeight w:val="310"/>
        </w:trPr>
        <w:tc>
          <w:tcPr>
            <w:tcW w:w="1900" w:type="dxa"/>
            <w:tcBorders>
              <w:top w:val="nil"/>
              <w:left w:val="nil"/>
              <w:bottom w:val="nil"/>
              <w:right w:val="nil"/>
            </w:tcBorders>
            <w:shd w:val="clear" w:color="auto" w:fill="auto"/>
            <w:vAlign w:val="center"/>
            <w:hideMark/>
          </w:tcPr>
          <w:p w14:paraId="1C212276" w14:textId="77777777" w:rsidR="00323F17" w:rsidRPr="00F30E5C" w:rsidRDefault="00323F17" w:rsidP="00F8256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w:t>
            </w:r>
          </w:p>
        </w:tc>
        <w:tc>
          <w:tcPr>
            <w:tcW w:w="960" w:type="dxa"/>
            <w:tcBorders>
              <w:top w:val="nil"/>
              <w:left w:val="nil"/>
              <w:bottom w:val="nil"/>
              <w:right w:val="nil"/>
            </w:tcBorders>
            <w:shd w:val="clear" w:color="auto" w:fill="auto"/>
            <w:noWrap/>
            <w:vAlign w:val="bottom"/>
            <w:hideMark/>
          </w:tcPr>
          <w:p w14:paraId="3E33CBA1" w14:textId="77777777" w:rsidR="00323F17" w:rsidRPr="00F30E5C" w:rsidRDefault="00323F17" w:rsidP="00F82568">
            <w:pPr>
              <w:spacing w:after="0" w:line="240" w:lineRule="auto"/>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vAlign w:val="bottom"/>
            <w:hideMark/>
          </w:tcPr>
          <w:p w14:paraId="6417B342" w14:textId="77777777" w:rsidR="00323F17" w:rsidRPr="0009062E" w:rsidRDefault="00323F17" w:rsidP="00F82568">
            <w:pPr>
              <w:spacing w:after="0" w:line="240" w:lineRule="auto"/>
              <w:jc w:val="center"/>
              <w:rPr>
                <w:rFonts w:ascii="Times New Roman" w:eastAsia="Times New Roman" w:hAnsi="Times New Roman" w:cs="Times New Roman"/>
                <w:color w:val="000000"/>
                <w:sz w:val="24"/>
                <w:szCs w:val="24"/>
              </w:rPr>
            </w:pPr>
            <w:r w:rsidRPr="0009062E">
              <w:rPr>
                <w:rFonts w:ascii="Times New Roman" w:hAnsi="Times New Roman" w:cs="Times New Roman"/>
                <w:color w:val="000000"/>
                <w:sz w:val="24"/>
                <w:szCs w:val="24"/>
              </w:rPr>
              <w:t>0.9064</w:t>
            </w:r>
          </w:p>
        </w:tc>
        <w:tc>
          <w:tcPr>
            <w:tcW w:w="960" w:type="dxa"/>
            <w:tcBorders>
              <w:top w:val="nil"/>
              <w:left w:val="nil"/>
              <w:bottom w:val="nil"/>
              <w:right w:val="nil"/>
            </w:tcBorders>
            <w:shd w:val="clear" w:color="auto" w:fill="auto"/>
            <w:vAlign w:val="center"/>
          </w:tcPr>
          <w:p w14:paraId="7C44C7A9" w14:textId="7433B720" w:rsidR="00323F17" w:rsidRPr="0009062E" w:rsidRDefault="000F1EE1" w:rsidP="00F825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0.8777</w:t>
            </w:r>
          </w:p>
        </w:tc>
      </w:tr>
      <w:tr w:rsidR="00323F17" w:rsidRPr="0009062E" w14:paraId="7EDF4375" w14:textId="77777777" w:rsidTr="00F82568">
        <w:trPr>
          <w:gridAfter w:val="3"/>
          <w:wAfter w:w="2880" w:type="dxa"/>
          <w:trHeight w:val="310"/>
        </w:trPr>
        <w:tc>
          <w:tcPr>
            <w:tcW w:w="1900" w:type="dxa"/>
            <w:tcBorders>
              <w:top w:val="nil"/>
              <w:left w:val="nil"/>
              <w:bottom w:val="nil"/>
              <w:right w:val="nil"/>
            </w:tcBorders>
            <w:shd w:val="clear" w:color="auto" w:fill="auto"/>
            <w:vAlign w:val="center"/>
            <w:hideMark/>
          </w:tcPr>
          <w:p w14:paraId="788419D0" w14:textId="77777777" w:rsidR="00323F17" w:rsidRPr="00F30E5C" w:rsidRDefault="00323F17" w:rsidP="00F825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ICLN</w:t>
            </w:r>
          </w:p>
        </w:tc>
      </w:tr>
      <w:tr w:rsidR="00323F17" w:rsidRPr="00F30E5C" w14:paraId="47272A67" w14:textId="77777777" w:rsidTr="00F82568">
        <w:trPr>
          <w:trHeight w:val="310"/>
        </w:trPr>
        <w:tc>
          <w:tcPr>
            <w:tcW w:w="1900" w:type="dxa"/>
            <w:tcBorders>
              <w:top w:val="nil"/>
              <w:left w:val="nil"/>
              <w:bottom w:val="nil"/>
              <w:right w:val="nil"/>
            </w:tcBorders>
            <w:shd w:val="clear" w:color="auto" w:fill="auto"/>
            <w:vAlign w:val="center"/>
            <w:hideMark/>
          </w:tcPr>
          <w:p w14:paraId="562BEC4B" w14:textId="77777777" w:rsidR="00323F17" w:rsidRPr="00F30E5C" w:rsidRDefault="00323F17" w:rsidP="00F82568">
            <w:pPr>
              <w:spacing w:after="0" w:line="240" w:lineRule="auto"/>
              <w:rPr>
                <w:rFonts w:ascii="Times New Roman" w:eastAsia="Times New Roman" w:hAnsi="Times New Roman" w:cs="Times New Roman"/>
                <w:color w:val="000000"/>
                <w:sz w:val="24"/>
                <w:szCs w:val="24"/>
              </w:rPr>
            </w:pPr>
            <w:r w:rsidRPr="00F30E5C">
              <w:rPr>
                <w:rFonts w:ascii="Times New Roman" w:eastAsia="Times New Roman" w:hAnsi="Times New Roman" w:cs="Times New Roman"/>
                <w:color w:val="000000"/>
                <w:sz w:val="24"/>
                <w:szCs w:val="24"/>
              </w:rPr>
              <w:t>Accuracy</w:t>
            </w:r>
          </w:p>
        </w:tc>
        <w:tc>
          <w:tcPr>
            <w:tcW w:w="960" w:type="dxa"/>
            <w:tcBorders>
              <w:top w:val="nil"/>
              <w:left w:val="nil"/>
              <w:bottom w:val="nil"/>
              <w:right w:val="nil"/>
            </w:tcBorders>
            <w:shd w:val="clear" w:color="auto" w:fill="auto"/>
            <w:vAlign w:val="center"/>
            <w:hideMark/>
          </w:tcPr>
          <w:p w14:paraId="6E14DEC5" w14:textId="77777777" w:rsidR="00323F17" w:rsidRPr="00F30E5C" w:rsidRDefault="00323F17" w:rsidP="00F82568">
            <w:pPr>
              <w:spacing w:after="0" w:line="240" w:lineRule="auto"/>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vAlign w:val="bottom"/>
            <w:hideMark/>
          </w:tcPr>
          <w:p w14:paraId="31B3307E" w14:textId="77777777" w:rsidR="00323F17" w:rsidRPr="0009062E" w:rsidRDefault="00323F17" w:rsidP="00F82568">
            <w:pPr>
              <w:spacing w:after="0" w:line="240" w:lineRule="auto"/>
              <w:jc w:val="center"/>
              <w:rPr>
                <w:rFonts w:ascii="Times New Roman" w:eastAsia="Times New Roman" w:hAnsi="Times New Roman" w:cs="Times New Roman"/>
                <w:color w:val="000000"/>
                <w:sz w:val="24"/>
                <w:szCs w:val="24"/>
              </w:rPr>
            </w:pPr>
            <w:r w:rsidRPr="0009062E">
              <w:rPr>
                <w:rFonts w:ascii="Times New Roman" w:hAnsi="Times New Roman" w:cs="Times New Roman"/>
                <w:color w:val="000000"/>
                <w:sz w:val="24"/>
                <w:szCs w:val="24"/>
              </w:rPr>
              <w:t>0.9012</w:t>
            </w:r>
          </w:p>
        </w:tc>
        <w:tc>
          <w:tcPr>
            <w:tcW w:w="960" w:type="dxa"/>
            <w:tcBorders>
              <w:top w:val="nil"/>
              <w:left w:val="nil"/>
              <w:bottom w:val="nil"/>
              <w:right w:val="nil"/>
            </w:tcBorders>
            <w:shd w:val="clear" w:color="auto" w:fill="auto"/>
            <w:vAlign w:val="center"/>
          </w:tcPr>
          <w:p w14:paraId="42580E3E" w14:textId="22CDF43C" w:rsidR="00323F17" w:rsidRPr="0009062E" w:rsidRDefault="0034010F" w:rsidP="00F82568">
            <w:pPr>
              <w:spacing w:after="0" w:line="240" w:lineRule="auto"/>
              <w:jc w:val="center"/>
              <w:rPr>
                <w:rFonts w:ascii="Times New Roman" w:eastAsia="Times New Roman" w:hAnsi="Times New Roman" w:cs="Times New Roman"/>
                <w:color w:val="000000"/>
                <w:sz w:val="24"/>
                <w:szCs w:val="24"/>
              </w:rPr>
            </w:pPr>
            <w:r w:rsidRPr="0009062E">
              <w:rPr>
                <w:rFonts w:ascii="Times New Roman" w:eastAsia="Times New Roman" w:hAnsi="Times New Roman" w:cs="Times New Roman"/>
                <w:color w:val="000000"/>
                <w:sz w:val="24"/>
                <w:szCs w:val="24"/>
              </w:rPr>
              <w:t>0.9040</w:t>
            </w:r>
          </w:p>
        </w:tc>
      </w:tr>
      <w:tr w:rsidR="00323F17" w:rsidRPr="00F30E5C" w14:paraId="16A99E09" w14:textId="77777777" w:rsidTr="00F82568">
        <w:trPr>
          <w:trHeight w:val="310"/>
        </w:trPr>
        <w:tc>
          <w:tcPr>
            <w:tcW w:w="1900" w:type="dxa"/>
            <w:tcBorders>
              <w:top w:val="nil"/>
              <w:left w:val="nil"/>
              <w:bottom w:val="nil"/>
              <w:right w:val="nil"/>
            </w:tcBorders>
            <w:shd w:val="clear" w:color="auto" w:fill="auto"/>
            <w:vAlign w:val="center"/>
            <w:hideMark/>
          </w:tcPr>
          <w:p w14:paraId="44928F01" w14:textId="048604B8" w:rsidR="00323F17" w:rsidRPr="00F30E5C" w:rsidRDefault="00323F17" w:rsidP="00F82568">
            <w:pPr>
              <w:spacing w:after="0" w:line="240" w:lineRule="auto"/>
              <w:rPr>
                <w:rFonts w:ascii="Times New Roman" w:eastAsia="Times New Roman" w:hAnsi="Times New Roman" w:cs="Times New Roman"/>
                <w:color w:val="000000"/>
                <w:sz w:val="24"/>
                <w:szCs w:val="24"/>
              </w:rPr>
            </w:pPr>
            <w:r w:rsidRPr="00F30E5C">
              <w:rPr>
                <w:rFonts w:ascii="Times New Roman" w:eastAsia="Times New Roman" w:hAnsi="Times New Roman" w:cs="Times New Roman"/>
                <w:color w:val="000000"/>
                <w:sz w:val="24"/>
                <w:szCs w:val="24"/>
              </w:rPr>
              <w:t>Kappa</w:t>
            </w:r>
          </w:p>
        </w:tc>
        <w:tc>
          <w:tcPr>
            <w:tcW w:w="960" w:type="dxa"/>
            <w:tcBorders>
              <w:top w:val="nil"/>
              <w:left w:val="nil"/>
              <w:bottom w:val="nil"/>
              <w:right w:val="nil"/>
            </w:tcBorders>
            <w:shd w:val="clear" w:color="auto" w:fill="auto"/>
            <w:vAlign w:val="center"/>
            <w:hideMark/>
          </w:tcPr>
          <w:p w14:paraId="4584EE2F" w14:textId="77777777" w:rsidR="00323F17" w:rsidRPr="00F30E5C" w:rsidRDefault="00323F17" w:rsidP="00F82568">
            <w:pPr>
              <w:spacing w:after="0" w:line="240" w:lineRule="auto"/>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vAlign w:val="bottom"/>
            <w:hideMark/>
          </w:tcPr>
          <w:p w14:paraId="17B24C3B" w14:textId="77777777" w:rsidR="00323F17" w:rsidRPr="0009062E" w:rsidRDefault="00323F17" w:rsidP="00F82568">
            <w:pPr>
              <w:spacing w:after="0" w:line="240" w:lineRule="auto"/>
              <w:jc w:val="center"/>
              <w:rPr>
                <w:rFonts w:ascii="Times New Roman" w:eastAsia="Times New Roman" w:hAnsi="Times New Roman" w:cs="Times New Roman"/>
                <w:color w:val="000000"/>
                <w:sz w:val="24"/>
                <w:szCs w:val="24"/>
              </w:rPr>
            </w:pPr>
            <w:r w:rsidRPr="0009062E">
              <w:rPr>
                <w:rFonts w:ascii="Times New Roman" w:hAnsi="Times New Roman" w:cs="Times New Roman"/>
                <w:color w:val="000000"/>
                <w:sz w:val="24"/>
                <w:szCs w:val="24"/>
              </w:rPr>
              <w:t>0.8009</w:t>
            </w:r>
          </w:p>
        </w:tc>
        <w:tc>
          <w:tcPr>
            <w:tcW w:w="960" w:type="dxa"/>
            <w:tcBorders>
              <w:top w:val="nil"/>
              <w:left w:val="nil"/>
              <w:bottom w:val="nil"/>
              <w:right w:val="nil"/>
            </w:tcBorders>
            <w:shd w:val="clear" w:color="auto" w:fill="auto"/>
            <w:vAlign w:val="center"/>
          </w:tcPr>
          <w:p w14:paraId="2E232E07" w14:textId="673B2B3B" w:rsidR="00323F17" w:rsidRPr="0009062E" w:rsidRDefault="0034010F" w:rsidP="00F82568">
            <w:pPr>
              <w:spacing w:after="0" w:line="240" w:lineRule="auto"/>
              <w:jc w:val="center"/>
              <w:rPr>
                <w:rFonts w:ascii="Times New Roman" w:eastAsia="Times New Roman" w:hAnsi="Times New Roman" w:cs="Times New Roman"/>
                <w:color w:val="000000"/>
                <w:sz w:val="24"/>
                <w:szCs w:val="24"/>
              </w:rPr>
            </w:pPr>
            <w:r w:rsidRPr="0009062E">
              <w:rPr>
                <w:rFonts w:ascii="Times New Roman" w:eastAsia="Times New Roman" w:hAnsi="Times New Roman" w:cs="Times New Roman"/>
                <w:color w:val="000000"/>
                <w:sz w:val="24"/>
                <w:szCs w:val="24"/>
              </w:rPr>
              <w:t>0.7949</w:t>
            </w:r>
          </w:p>
        </w:tc>
      </w:tr>
      <w:tr w:rsidR="00323F17" w:rsidRPr="00F30E5C" w14:paraId="4C9F73AC" w14:textId="77777777" w:rsidTr="00F82568">
        <w:trPr>
          <w:trHeight w:val="310"/>
        </w:trPr>
        <w:tc>
          <w:tcPr>
            <w:tcW w:w="1900" w:type="dxa"/>
            <w:tcBorders>
              <w:top w:val="nil"/>
              <w:left w:val="nil"/>
              <w:bottom w:val="nil"/>
              <w:right w:val="nil"/>
            </w:tcBorders>
            <w:shd w:val="clear" w:color="auto" w:fill="auto"/>
            <w:vAlign w:val="center"/>
            <w:hideMark/>
          </w:tcPr>
          <w:p w14:paraId="04206A6F" w14:textId="77777777" w:rsidR="00323F17" w:rsidRPr="00F30E5C" w:rsidRDefault="00323F17" w:rsidP="00F8256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w:t>
            </w:r>
          </w:p>
        </w:tc>
        <w:tc>
          <w:tcPr>
            <w:tcW w:w="960" w:type="dxa"/>
            <w:tcBorders>
              <w:top w:val="nil"/>
              <w:left w:val="nil"/>
              <w:bottom w:val="nil"/>
              <w:right w:val="nil"/>
            </w:tcBorders>
            <w:shd w:val="clear" w:color="auto" w:fill="auto"/>
            <w:noWrap/>
            <w:vAlign w:val="bottom"/>
            <w:hideMark/>
          </w:tcPr>
          <w:p w14:paraId="6A9FC969" w14:textId="77777777" w:rsidR="00323F17" w:rsidRPr="00F30E5C" w:rsidRDefault="00323F17" w:rsidP="00F82568">
            <w:pPr>
              <w:spacing w:after="0" w:line="240" w:lineRule="auto"/>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vAlign w:val="bottom"/>
            <w:hideMark/>
          </w:tcPr>
          <w:p w14:paraId="0EFEBDFA" w14:textId="77777777" w:rsidR="00323F17" w:rsidRPr="0009062E" w:rsidRDefault="00323F17" w:rsidP="00F82568">
            <w:pPr>
              <w:spacing w:after="0" w:line="240" w:lineRule="auto"/>
              <w:jc w:val="center"/>
              <w:rPr>
                <w:rFonts w:ascii="Times New Roman" w:eastAsia="Times New Roman" w:hAnsi="Times New Roman" w:cs="Times New Roman"/>
                <w:color w:val="000000"/>
                <w:sz w:val="24"/>
                <w:szCs w:val="24"/>
              </w:rPr>
            </w:pPr>
            <w:r w:rsidRPr="0009062E">
              <w:rPr>
                <w:rFonts w:ascii="Times New Roman" w:hAnsi="Times New Roman" w:cs="Times New Roman"/>
                <w:color w:val="000000"/>
                <w:sz w:val="24"/>
                <w:szCs w:val="24"/>
              </w:rPr>
              <w:t>0.9093</w:t>
            </w:r>
          </w:p>
        </w:tc>
        <w:tc>
          <w:tcPr>
            <w:tcW w:w="960" w:type="dxa"/>
            <w:tcBorders>
              <w:top w:val="nil"/>
              <w:left w:val="nil"/>
              <w:bottom w:val="nil"/>
              <w:right w:val="nil"/>
            </w:tcBorders>
            <w:shd w:val="clear" w:color="auto" w:fill="auto"/>
            <w:vAlign w:val="center"/>
          </w:tcPr>
          <w:p w14:paraId="5DCAEAD2" w14:textId="449B2101" w:rsidR="00323F17" w:rsidRPr="0009062E" w:rsidRDefault="000F1EE1" w:rsidP="00F825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0.8714</w:t>
            </w:r>
          </w:p>
        </w:tc>
      </w:tr>
      <w:tr w:rsidR="00323F17" w:rsidRPr="0009062E" w14:paraId="63751BC0" w14:textId="77777777" w:rsidTr="00F82568">
        <w:trPr>
          <w:gridAfter w:val="3"/>
          <w:wAfter w:w="2880" w:type="dxa"/>
          <w:trHeight w:val="310"/>
        </w:trPr>
        <w:tc>
          <w:tcPr>
            <w:tcW w:w="1900" w:type="dxa"/>
            <w:tcBorders>
              <w:top w:val="nil"/>
              <w:left w:val="nil"/>
              <w:bottom w:val="nil"/>
              <w:right w:val="nil"/>
            </w:tcBorders>
            <w:shd w:val="clear" w:color="auto" w:fill="auto"/>
            <w:vAlign w:val="center"/>
            <w:hideMark/>
          </w:tcPr>
          <w:p w14:paraId="1C257137" w14:textId="77777777" w:rsidR="00323F17" w:rsidRPr="00F30E5C" w:rsidRDefault="00323F17" w:rsidP="00F825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QCLN</w:t>
            </w:r>
          </w:p>
        </w:tc>
      </w:tr>
      <w:tr w:rsidR="00323F17" w:rsidRPr="00F30E5C" w14:paraId="183FA3E4" w14:textId="77777777" w:rsidTr="00F82568">
        <w:trPr>
          <w:trHeight w:val="310"/>
        </w:trPr>
        <w:tc>
          <w:tcPr>
            <w:tcW w:w="1900" w:type="dxa"/>
            <w:tcBorders>
              <w:top w:val="nil"/>
              <w:left w:val="nil"/>
              <w:bottom w:val="nil"/>
              <w:right w:val="nil"/>
            </w:tcBorders>
            <w:shd w:val="clear" w:color="auto" w:fill="auto"/>
            <w:vAlign w:val="center"/>
            <w:hideMark/>
          </w:tcPr>
          <w:p w14:paraId="1EB68D9D" w14:textId="77777777" w:rsidR="00323F17" w:rsidRPr="00F30E5C" w:rsidRDefault="00323F17" w:rsidP="00F82568">
            <w:pPr>
              <w:spacing w:after="0" w:line="240" w:lineRule="auto"/>
              <w:rPr>
                <w:rFonts w:ascii="Times New Roman" w:eastAsia="Times New Roman" w:hAnsi="Times New Roman" w:cs="Times New Roman"/>
                <w:color w:val="000000"/>
                <w:sz w:val="24"/>
                <w:szCs w:val="24"/>
              </w:rPr>
            </w:pPr>
            <w:r w:rsidRPr="00F30E5C">
              <w:rPr>
                <w:rFonts w:ascii="Times New Roman" w:eastAsia="Times New Roman" w:hAnsi="Times New Roman" w:cs="Times New Roman"/>
                <w:color w:val="000000"/>
                <w:sz w:val="24"/>
                <w:szCs w:val="24"/>
              </w:rPr>
              <w:t>Accuracy</w:t>
            </w:r>
          </w:p>
        </w:tc>
        <w:tc>
          <w:tcPr>
            <w:tcW w:w="960" w:type="dxa"/>
            <w:tcBorders>
              <w:top w:val="nil"/>
              <w:left w:val="nil"/>
              <w:bottom w:val="nil"/>
              <w:right w:val="nil"/>
            </w:tcBorders>
            <w:shd w:val="clear" w:color="auto" w:fill="auto"/>
            <w:vAlign w:val="center"/>
            <w:hideMark/>
          </w:tcPr>
          <w:p w14:paraId="5C6372FC" w14:textId="77777777" w:rsidR="00323F17" w:rsidRPr="00F30E5C" w:rsidRDefault="00323F17" w:rsidP="00F82568">
            <w:pPr>
              <w:spacing w:after="0" w:line="240" w:lineRule="auto"/>
              <w:jc w:val="center"/>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vAlign w:val="bottom"/>
            <w:hideMark/>
          </w:tcPr>
          <w:p w14:paraId="6E3F1B2A" w14:textId="77777777" w:rsidR="00323F17" w:rsidRPr="0009062E" w:rsidRDefault="00323F17" w:rsidP="00F82568">
            <w:pPr>
              <w:spacing w:after="0" w:line="240" w:lineRule="auto"/>
              <w:jc w:val="center"/>
              <w:rPr>
                <w:rFonts w:ascii="Times New Roman" w:eastAsia="Times New Roman" w:hAnsi="Times New Roman" w:cs="Times New Roman"/>
                <w:color w:val="000000"/>
                <w:sz w:val="24"/>
                <w:szCs w:val="24"/>
              </w:rPr>
            </w:pPr>
            <w:r w:rsidRPr="0009062E">
              <w:rPr>
                <w:rFonts w:ascii="Times New Roman" w:hAnsi="Times New Roman" w:cs="Times New Roman"/>
                <w:color w:val="000000"/>
                <w:sz w:val="24"/>
                <w:szCs w:val="24"/>
              </w:rPr>
              <w:t>0.8901</w:t>
            </w:r>
          </w:p>
        </w:tc>
        <w:tc>
          <w:tcPr>
            <w:tcW w:w="960" w:type="dxa"/>
            <w:tcBorders>
              <w:top w:val="nil"/>
              <w:left w:val="nil"/>
              <w:bottom w:val="nil"/>
              <w:right w:val="nil"/>
            </w:tcBorders>
            <w:shd w:val="clear" w:color="auto" w:fill="auto"/>
            <w:vAlign w:val="center"/>
          </w:tcPr>
          <w:p w14:paraId="06021080" w14:textId="3A2B31C4" w:rsidR="00323F17" w:rsidRPr="0009062E" w:rsidRDefault="00857602" w:rsidP="00F82568">
            <w:pPr>
              <w:spacing w:after="0" w:line="240" w:lineRule="auto"/>
              <w:jc w:val="center"/>
              <w:rPr>
                <w:rFonts w:ascii="Times New Roman" w:eastAsia="Times New Roman" w:hAnsi="Times New Roman" w:cs="Times New Roman"/>
                <w:color w:val="000000"/>
                <w:sz w:val="24"/>
                <w:szCs w:val="24"/>
              </w:rPr>
            </w:pPr>
            <w:r w:rsidRPr="0009062E">
              <w:rPr>
                <w:rFonts w:ascii="Times New Roman" w:eastAsia="Times New Roman" w:hAnsi="Times New Roman" w:cs="Times New Roman"/>
                <w:color w:val="000000"/>
                <w:sz w:val="24"/>
                <w:szCs w:val="24"/>
              </w:rPr>
              <w:t>0.8737</w:t>
            </w:r>
          </w:p>
        </w:tc>
      </w:tr>
      <w:tr w:rsidR="00323F17" w:rsidRPr="00F30E5C" w14:paraId="5DDA2F0A" w14:textId="77777777" w:rsidTr="00F82568">
        <w:trPr>
          <w:trHeight w:val="310"/>
        </w:trPr>
        <w:tc>
          <w:tcPr>
            <w:tcW w:w="1900" w:type="dxa"/>
            <w:tcBorders>
              <w:top w:val="nil"/>
              <w:left w:val="nil"/>
              <w:right w:val="nil"/>
            </w:tcBorders>
            <w:shd w:val="clear" w:color="auto" w:fill="auto"/>
            <w:vAlign w:val="center"/>
            <w:hideMark/>
          </w:tcPr>
          <w:p w14:paraId="5C7F2DCE" w14:textId="77777777" w:rsidR="00323F17" w:rsidRPr="00F30E5C" w:rsidRDefault="00323F17" w:rsidP="00F82568">
            <w:pPr>
              <w:spacing w:after="0" w:line="240" w:lineRule="auto"/>
              <w:rPr>
                <w:rFonts w:ascii="Times New Roman" w:eastAsia="Times New Roman" w:hAnsi="Times New Roman" w:cs="Times New Roman"/>
                <w:color w:val="000000"/>
                <w:sz w:val="24"/>
                <w:szCs w:val="24"/>
              </w:rPr>
            </w:pPr>
            <w:r w:rsidRPr="00F30E5C">
              <w:rPr>
                <w:rFonts w:ascii="Times New Roman" w:eastAsia="Times New Roman" w:hAnsi="Times New Roman" w:cs="Times New Roman"/>
                <w:color w:val="000000"/>
                <w:sz w:val="24"/>
                <w:szCs w:val="24"/>
              </w:rPr>
              <w:t>Kappa</w:t>
            </w:r>
          </w:p>
        </w:tc>
        <w:tc>
          <w:tcPr>
            <w:tcW w:w="960" w:type="dxa"/>
            <w:tcBorders>
              <w:top w:val="nil"/>
              <w:left w:val="nil"/>
              <w:right w:val="nil"/>
            </w:tcBorders>
            <w:shd w:val="clear" w:color="auto" w:fill="auto"/>
            <w:vAlign w:val="center"/>
            <w:hideMark/>
          </w:tcPr>
          <w:p w14:paraId="160D18B9" w14:textId="77777777" w:rsidR="00323F17" w:rsidRPr="00F30E5C" w:rsidRDefault="00323F17" w:rsidP="00F82568">
            <w:pPr>
              <w:spacing w:after="0" w:line="240" w:lineRule="auto"/>
              <w:jc w:val="center"/>
              <w:rPr>
                <w:rFonts w:ascii="Times New Roman" w:eastAsia="Times New Roman" w:hAnsi="Times New Roman" w:cs="Times New Roman"/>
                <w:color w:val="000000"/>
                <w:sz w:val="24"/>
                <w:szCs w:val="24"/>
              </w:rPr>
            </w:pPr>
          </w:p>
        </w:tc>
        <w:tc>
          <w:tcPr>
            <w:tcW w:w="960" w:type="dxa"/>
            <w:tcBorders>
              <w:top w:val="nil"/>
              <w:left w:val="nil"/>
              <w:right w:val="nil"/>
            </w:tcBorders>
            <w:shd w:val="clear" w:color="auto" w:fill="auto"/>
            <w:vAlign w:val="bottom"/>
            <w:hideMark/>
          </w:tcPr>
          <w:p w14:paraId="0F7A1F5E" w14:textId="77777777" w:rsidR="00323F17" w:rsidRPr="0009062E" w:rsidRDefault="00323F17" w:rsidP="00F82568">
            <w:pPr>
              <w:spacing w:after="0" w:line="240" w:lineRule="auto"/>
              <w:jc w:val="center"/>
              <w:rPr>
                <w:rFonts w:ascii="Times New Roman" w:eastAsia="Times New Roman" w:hAnsi="Times New Roman" w:cs="Times New Roman"/>
                <w:color w:val="000000"/>
                <w:sz w:val="24"/>
                <w:szCs w:val="24"/>
              </w:rPr>
            </w:pPr>
            <w:r w:rsidRPr="0009062E">
              <w:rPr>
                <w:rFonts w:ascii="Times New Roman" w:hAnsi="Times New Roman" w:cs="Times New Roman"/>
                <w:color w:val="000000"/>
                <w:sz w:val="24"/>
                <w:szCs w:val="24"/>
              </w:rPr>
              <w:t>0.7714</w:t>
            </w:r>
          </w:p>
        </w:tc>
        <w:tc>
          <w:tcPr>
            <w:tcW w:w="960" w:type="dxa"/>
            <w:tcBorders>
              <w:top w:val="nil"/>
              <w:left w:val="nil"/>
              <w:right w:val="nil"/>
            </w:tcBorders>
            <w:shd w:val="clear" w:color="auto" w:fill="auto"/>
            <w:vAlign w:val="center"/>
          </w:tcPr>
          <w:p w14:paraId="5B12086D" w14:textId="7B35E103" w:rsidR="00323F17" w:rsidRPr="0009062E" w:rsidRDefault="00857602" w:rsidP="00F82568">
            <w:pPr>
              <w:spacing w:after="0" w:line="240" w:lineRule="auto"/>
              <w:jc w:val="center"/>
              <w:rPr>
                <w:rFonts w:ascii="Times New Roman" w:eastAsia="Times New Roman" w:hAnsi="Times New Roman" w:cs="Times New Roman"/>
                <w:color w:val="000000"/>
                <w:sz w:val="24"/>
                <w:szCs w:val="24"/>
              </w:rPr>
            </w:pPr>
            <w:r w:rsidRPr="0009062E">
              <w:rPr>
                <w:rFonts w:ascii="Times New Roman" w:eastAsia="Times New Roman" w:hAnsi="Times New Roman" w:cs="Times New Roman"/>
                <w:color w:val="000000"/>
                <w:sz w:val="24"/>
                <w:szCs w:val="24"/>
              </w:rPr>
              <w:t>0.7279</w:t>
            </w:r>
          </w:p>
        </w:tc>
      </w:tr>
      <w:tr w:rsidR="00323F17" w:rsidRPr="00F30E5C" w14:paraId="5D6E3B38" w14:textId="77777777" w:rsidTr="00F82568">
        <w:trPr>
          <w:trHeight w:val="320"/>
        </w:trPr>
        <w:tc>
          <w:tcPr>
            <w:tcW w:w="1900" w:type="dxa"/>
            <w:tcBorders>
              <w:top w:val="nil"/>
              <w:left w:val="nil"/>
              <w:bottom w:val="single" w:sz="4" w:space="0" w:color="auto"/>
              <w:right w:val="nil"/>
            </w:tcBorders>
            <w:shd w:val="clear" w:color="auto" w:fill="auto"/>
            <w:vAlign w:val="center"/>
            <w:hideMark/>
          </w:tcPr>
          <w:p w14:paraId="164B6CA0" w14:textId="77777777" w:rsidR="00323F17" w:rsidRPr="00F30E5C" w:rsidRDefault="00323F17" w:rsidP="00F8256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F1</w:t>
            </w:r>
          </w:p>
        </w:tc>
        <w:tc>
          <w:tcPr>
            <w:tcW w:w="960" w:type="dxa"/>
            <w:tcBorders>
              <w:top w:val="nil"/>
              <w:left w:val="nil"/>
              <w:bottom w:val="single" w:sz="4" w:space="0" w:color="auto"/>
              <w:right w:val="nil"/>
            </w:tcBorders>
            <w:shd w:val="clear" w:color="auto" w:fill="auto"/>
            <w:vAlign w:val="center"/>
            <w:hideMark/>
          </w:tcPr>
          <w:p w14:paraId="6692EF5E" w14:textId="77777777" w:rsidR="00323F17" w:rsidRPr="00F30E5C" w:rsidRDefault="00323F17" w:rsidP="00F82568">
            <w:pPr>
              <w:spacing w:after="0" w:line="240" w:lineRule="auto"/>
              <w:jc w:val="center"/>
              <w:rPr>
                <w:rFonts w:ascii="Times New Roman" w:eastAsia="Times New Roman" w:hAnsi="Times New Roman" w:cs="Times New Roman"/>
                <w:color w:val="000000"/>
                <w:sz w:val="24"/>
                <w:szCs w:val="24"/>
              </w:rPr>
            </w:pPr>
            <w:r w:rsidRPr="00F30E5C">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nil"/>
            </w:tcBorders>
            <w:shd w:val="clear" w:color="auto" w:fill="auto"/>
            <w:vAlign w:val="bottom"/>
            <w:hideMark/>
          </w:tcPr>
          <w:p w14:paraId="2DF5E0A9" w14:textId="77777777" w:rsidR="00323F17" w:rsidRPr="0009062E" w:rsidRDefault="00323F17" w:rsidP="00F82568">
            <w:pPr>
              <w:spacing w:after="0" w:line="240" w:lineRule="auto"/>
              <w:jc w:val="center"/>
              <w:rPr>
                <w:rFonts w:ascii="Times New Roman" w:eastAsia="Times New Roman" w:hAnsi="Times New Roman" w:cs="Times New Roman"/>
                <w:color w:val="000000"/>
                <w:sz w:val="24"/>
                <w:szCs w:val="24"/>
              </w:rPr>
            </w:pPr>
            <w:r w:rsidRPr="0009062E">
              <w:rPr>
                <w:rFonts w:ascii="Times New Roman" w:hAnsi="Times New Roman" w:cs="Times New Roman"/>
                <w:color w:val="000000"/>
                <w:sz w:val="24"/>
                <w:szCs w:val="24"/>
              </w:rPr>
              <w:t>0.9083</w:t>
            </w:r>
          </w:p>
        </w:tc>
        <w:tc>
          <w:tcPr>
            <w:tcW w:w="960" w:type="dxa"/>
            <w:tcBorders>
              <w:top w:val="nil"/>
              <w:left w:val="nil"/>
              <w:bottom w:val="single" w:sz="4" w:space="0" w:color="auto"/>
              <w:right w:val="nil"/>
            </w:tcBorders>
            <w:shd w:val="clear" w:color="auto" w:fill="auto"/>
            <w:vAlign w:val="center"/>
          </w:tcPr>
          <w:p w14:paraId="4CB8825E" w14:textId="07241658" w:rsidR="00323F17" w:rsidRPr="0009062E" w:rsidRDefault="000F1EE1" w:rsidP="00F825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0.8271</w:t>
            </w:r>
          </w:p>
        </w:tc>
      </w:tr>
    </w:tbl>
    <w:p w14:paraId="0DE3252C" w14:textId="00B04724" w:rsidR="000C76D8" w:rsidRDefault="000C76D8" w:rsidP="00AA4AFA">
      <w:pPr>
        <w:spacing w:after="0" w:line="480" w:lineRule="auto"/>
        <w:rPr>
          <w:rFonts w:ascii="Times New Roman" w:hAnsi="Times New Roman" w:cs="Times New Roman"/>
          <w:sz w:val="24"/>
          <w:szCs w:val="24"/>
        </w:rPr>
      </w:pPr>
    </w:p>
    <w:p w14:paraId="50AE737C" w14:textId="34E9D371" w:rsidR="0056363F" w:rsidRDefault="00C27097" w:rsidP="00BB23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summary, f</w:t>
      </w:r>
      <w:r w:rsidR="007E186C">
        <w:rPr>
          <w:rFonts w:ascii="Times New Roman" w:hAnsi="Times New Roman" w:cs="Times New Roman"/>
          <w:sz w:val="24"/>
          <w:szCs w:val="24"/>
        </w:rPr>
        <w:t xml:space="preserve">or each clean energy ETF, </w:t>
      </w:r>
      <w:r w:rsidR="0056363F">
        <w:rPr>
          <w:rFonts w:ascii="Times New Roman" w:hAnsi="Times New Roman" w:cs="Times New Roman"/>
          <w:sz w:val="24"/>
          <w:szCs w:val="24"/>
        </w:rPr>
        <w:t xml:space="preserve">Shapley feature importance </w:t>
      </w:r>
      <w:r w:rsidR="00AA4AFA">
        <w:rPr>
          <w:rFonts w:ascii="Times New Roman" w:hAnsi="Times New Roman" w:cs="Times New Roman"/>
          <w:sz w:val="24"/>
          <w:szCs w:val="24"/>
        </w:rPr>
        <w:t>indicates</w:t>
      </w:r>
      <w:r w:rsidR="0056363F">
        <w:rPr>
          <w:rFonts w:ascii="Times New Roman" w:hAnsi="Times New Roman" w:cs="Times New Roman"/>
          <w:sz w:val="24"/>
          <w:szCs w:val="24"/>
        </w:rPr>
        <w:t xml:space="preserve"> that technical indicators </w:t>
      </w:r>
      <w:r w:rsidR="007E186C">
        <w:rPr>
          <w:rFonts w:ascii="Times New Roman" w:hAnsi="Times New Roman" w:cs="Times New Roman"/>
          <w:sz w:val="24"/>
          <w:szCs w:val="24"/>
        </w:rPr>
        <w:t xml:space="preserve">like WAD, MA50, and MA200 </w:t>
      </w:r>
      <w:r w:rsidR="0056363F">
        <w:rPr>
          <w:rFonts w:ascii="Times New Roman" w:hAnsi="Times New Roman" w:cs="Times New Roman"/>
          <w:sz w:val="24"/>
          <w:szCs w:val="24"/>
        </w:rPr>
        <w:t xml:space="preserve">are </w:t>
      </w:r>
      <w:r w:rsidR="007E186C">
        <w:rPr>
          <w:rFonts w:ascii="Times New Roman" w:hAnsi="Times New Roman" w:cs="Times New Roman"/>
          <w:sz w:val="24"/>
          <w:szCs w:val="24"/>
        </w:rPr>
        <w:t xml:space="preserve">consistently ranked among </w:t>
      </w:r>
      <w:r w:rsidR="0056363F">
        <w:rPr>
          <w:rFonts w:ascii="Times New Roman" w:hAnsi="Times New Roman" w:cs="Times New Roman"/>
          <w:sz w:val="24"/>
          <w:szCs w:val="24"/>
        </w:rPr>
        <w:t>the most important features</w:t>
      </w:r>
      <w:r w:rsidR="007E186C">
        <w:rPr>
          <w:rFonts w:ascii="Times New Roman" w:hAnsi="Times New Roman" w:cs="Times New Roman"/>
          <w:sz w:val="24"/>
          <w:szCs w:val="24"/>
        </w:rPr>
        <w:t xml:space="preserve"> for the 15-day and 20-day forecast horizons</w:t>
      </w:r>
      <w:r w:rsidR="0056363F">
        <w:rPr>
          <w:rFonts w:ascii="Times New Roman" w:hAnsi="Times New Roman" w:cs="Times New Roman"/>
          <w:sz w:val="24"/>
          <w:szCs w:val="24"/>
        </w:rPr>
        <w:t xml:space="preserve">. </w:t>
      </w:r>
      <w:r w:rsidR="00BB23CC">
        <w:rPr>
          <w:rFonts w:ascii="Times New Roman" w:hAnsi="Times New Roman" w:cs="Times New Roman"/>
          <w:sz w:val="24"/>
          <w:szCs w:val="24"/>
        </w:rPr>
        <w:t xml:space="preserve">These results that technical indicators are important predictors of </w:t>
      </w:r>
      <w:r w:rsidR="0056363F">
        <w:rPr>
          <w:rFonts w:ascii="Times New Roman" w:hAnsi="Times New Roman" w:cs="Times New Roman"/>
          <w:sz w:val="24"/>
          <w:szCs w:val="24"/>
        </w:rPr>
        <w:t xml:space="preserve">clean energy ETFs </w:t>
      </w:r>
      <w:r w:rsidR="00BB23CC">
        <w:rPr>
          <w:rFonts w:ascii="Times New Roman" w:hAnsi="Times New Roman" w:cs="Times New Roman"/>
          <w:sz w:val="24"/>
          <w:szCs w:val="24"/>
        </w:rPr>
        <w:t xml:space="preserve">are consistent with </w:t>
      </w:r>
      <w:r w:rsidR="00B56392">
        <w:rPr>
          <w:rFonts w:ascii="Times New Roman" w:hAnsi="Times New Roman" w:cs="Times New Roman"/>
          <w:sz w:val="24"/>
          <w:szCs w:val="24"/>
        </w:rPr>
        <w:t xml:space="preserve">some </w:t>
      </w:r>
      <w:r w:rsidR="00E465DF">
        <w:rPr>
          <w:rFonts w:ascii="Times New Roman" w:hAnsi="Times New Roman" w:cs="Times New Roman"/>
          <w:sz w:val="24"/>
          <w:szCs w:val="24"/>
        </w:rPr>
        <w:t xml:space="preserve">recent research that uses machine learning methods to </w:t>
      </w:r>
      <w:r w:rsidR="00BB23CC">
        <w:rPr>
          <w:rFonts w:ascii="Times New Roman" w:hAnsi="Times New Roman" w:cs="Times New Roman"/>
          <w:sz w:val="24"/>
          <w:szCs w:val="24"/>
        </w:rPr>
        <w:t>predict</w:t>
      </w:r>
      <w:r w:rsidR="00E465DF">
        <w:rPr>
          <w:rFonts w:ascii="Times New Roman" w:hAnsi="Times New Roman" w:cs="Times New Roman"/>
          <w:sz w:val="24"/>
          <w:szCs w:val="24"/>
        </w:rPr>
        <w:t xml:space="preserve"> </w:t>
      </w:r>
      <w:r w:rsidR="00BB23CC">
        <w:rPr>
          <w:rFonts w:ascii="Times New Roman" w:hAnsi="Times New Roman" w:cs="Times New Roman"/>
          <w:sz w:val="24"/>
          <w:szCs w:val="24"/>
        </w:rPr>
        <w:t>clean energy stock prices</w:t>
      </w:r>
      <w:r w:rsidR="00E465DF">
        <w:rPr>
          <w:rFonts w:ascii="Times New Roman" w:hAnsi="Times New Roman" w:cs="Times New Roman"/>
          <w:sz w:val="24"/>
          <w:szCs w:val="24"/>
        </w:rPr>
        <w:t xml:space="preserve">. </w:t>
      </w:r>
      <w:r w:rsidR="00B56392">
        <w:rPr>
          <w:rFonts w:ascii="Times New Roman" w:hAnsi="Times New Roman" w:cs="Times New Roman"/>
          <w:sz w:val="24"/>
          <w:szCs w:val="24"/>
        </w:rPr>
        <w:t xml:space="preserve">For example, </w:t>
      </w:r>
      <w:r w:rsidR="00BB23CC">
        <w:rPr>
          <w:rFonts w:ascii="Times New Roman" w:hAnsi="Times New Roman" w:cs="Times New Roman"/>
          <w:sz w:val="24"/>
          <w:szCs w:val="24"/>
        </w:rPr>
        <w:t xml:space="preserve">Sadorsky </w:t>
      </w:r>
      <w:r w:rsidR="00BB23CC">
        <w:rPr>
          <w:rFonts w:ascii="Times New Roman" w:hAnsi="Times New Roman" w:cs="Times New Roman"/>
          <w:sz w:val="24"/>
          <w:szCs w:val="24"/>
        </w:rPr>
        <w:fldChar w:fldCharType="begin"/>
      </w:r>
      <w:r w:rsidR="002A666A">
        <w:rPr>
          <w:rFonts w:ascii="Times New Roman" w:hAnsi="Times New Roman" w:cs="Times New Roman"/>
          <w:sz w:val="24"/>
          <w:szCs w:val="24"/>
        </w:rPr>
        <w:instrText xml:space="preserve"> ADDIN ZOTERO_ITEM CSL_CITATION {"citationID":"ZD6rJwgA","properties":{"formattedCitation":"(2021a)","plainCitation":"(2021a)","noteIndex":0},"citationItems":[{"id":2785,"uris":["http://zotero.org/users/5823779/items/YVFWXLX9"],"itemData":{"id":2785,"type":"article-journal","abstract":"Climate change, green consumers, energy security, fossil fuel divestment, and technological innovation are powerful forces shaping an increased interest towards investing in companies that specialize in clean energy. Well informed investors need reliable methods for predicting the stock prices of clean energy companies. While the existing literature on forecasting stock prices shows how difficult it is to predict stock prices, there is evidence that predicting stock price direction is more successful than predicting actual stock prices. This paper uses the machine learning method of random forests to predict the stock price direction of clean energy exchange traded funds. Some well-known technical indicators are used as features. Decision tree bagging and random forests predictions of stock price direction are more accurate than those obtained from logit models. For a 20-day forecast horizon, tree bagging and random forests methods produce accuracy rates of between 85% and 90% while logit models produce accuracy rates of between 55% and 60%. Tree bagging and random forests are easy to understand and estimate and are useful methods for forecasting the stock price direction of clean energy stocks.","container-title":"Journal of Risk and Financial Management","DOI":"10.3390/jrfm14020048","issue":"2","language":"en","note":"number: 2\npublisher: Multidisciplinary Digital Publishing Institute","page":"48","source":"www.mdpi.com","title":"A Random Forests Approach to Predicting Clean Energy Stock Prices","volume":"14","author":[{"family":"Sadorsky","given":"Perry"}],"issued":{"date-parts":[["2021",2]]}},"suppress-author":true}],"schema":"https://github.com/citation-style-language/schema/raw/master/csl-citation.json"} </w:instrText>
      </w:r>
      <w:r w:rsidR="00BB23CC">
        <w:rPr>
          <w:rFonts w:ascii="Times New Roman" w:hAnsi="Times New Roman" w:cs="Times New Roman"/>
          <w:sz w:val="24"/>
          <w:szCs w:val="24"/>
        </w:rPr>
        <w:fldChar w:fldCharType="separate"/>
      </w:r>
      <w:r w:rsidR="00F31A70" w:rsidRPr="00F31A70">
        <w:rPr>
          <w:rFonts w:ascii="Times New Roman" w:hAnsi="Times New Roman" w:cs="Times New Roman"/>
          <w:sz w:val="24"/>
        </w:rPr>
        <w:t>(2021a)</w:t>
      </w:r>
      <w:r w:rsidR="00BB23CC">
        <w:rPr>
          <w:rFonts w:ascii="Times New Roman" w:hAnsi="Times New Roman" w:cs="Times New Roman"/>
          <w:sz w:val="24"/>
          <w:szCs w:val="24"/>
        </w:rPr>
        <w:fldChar w:fldCharType="end"/>
      </w:r>
      <w:r w:rsidR="00BB23CC">
        <w:rPr>
          <w:rFonts w:ascii="Times New Roman" w:hAnsi="Times New Roman" w:cs="Times New Roman"/>
          <w:sz w:val="24"/>
          <w:szCs w:val="24"/>
        </w:rPr>
        <w:t xml:space="preserve"> finds that technical indicators are important features for predicting clean energy ETF price direction but he did not include non-technical features.  Sadorsky </w:t>
      </w:r>
      <w:r w:rsidR="00BB23CC">
        <w:rPr>
          <w:rFonts w:ascii="Times New Roman" w:hAnsi="Times New Roman" w:cs="Times New Roman"/>
          <w:sz w:val="24"/>
          <w:szCs w:val="24"/>
        </w:rPr>
        <w:fldChar w:fldCharType="begin"/>
      </w:r>
      <w:r w:rsidR="00DE097C">
        <w:rPr>
          <w:rFonts w:ascii="Times New Roman" w:hAnsi="Times New Roman" w:cs="Times New Roman"/>
          <w:sz w:val="24"/>
          <w:szCs w:val="24"/>
        </w:rPr>
        <w:instrText xml:space="preserve"> ADDIN ZOTERO_ITEM CSL_CITATION {"citationID":"xg7Q5tNQ","properties":{"formattedCitation":"(2022)","plainCitation":"(2022)","noteIndex":0},"citationItems":[{"id":3637,"uris":["http://zotero.org/users/5823779/items/T4HMGIJS"],"itemData":{"id":3637,"type":"article-journal","abstract":"Solar energy is one of the fastest growing sources of electricity generation. Forecasting solar stock prices is important for investors and venture capitalists interested in the renewable energy sector. This paper uses tree-based machine learning methods to forecast the direction of solar stock prices. The feature set used in prediction includes a selection of well-known technical indicators, silver prices, silver price volatility, and oil price volatility. The solar stock price direction prediction accuracy of random forests, bagging, support vector machines, and extremely randomized trees is much higher than that of logit. For a forecast horizon of between 8 and 20 days, random forests, bagging, support vector machines, and extremely randomized trees achieve a prediction accuracy greater than 85%. Although not as prominent as technical indicators like MA200, WAD, and MA20, oil price volatility and silver price volatility are also important predictors. An investment portfolio trading strategy based on trading signals generated from the extremely randomized trees stock price direction prediction outperforms a simple buy and hold strategy. These results demonstrate the accuracy of using tree-based machine learning methods to forecast the direction of solar stock prices and adds to the broader literature on using machine learning techniques to forecast stock prices.","container-title":"The North American Journal of Economics and Finance","DOI":"10.1016/j.najef.2022.101705","ISSN":"1062-9408","journalAbbreviation":"The North American Journal of Economics and Finance","language":"en","page":"101705","source":"ScienceDirect","title":"Forecasting solar stock prices using tree-based machine learning classification: How important are silver prices?","title-short":"Forecasting solar stock prices using tree-based machine learning classification","volume":"61","author":[{"family":"Sadorsky","given":"Perry"}],"issued":{"date-parts":[["2022",7,1]]}},"suppress-author":true}],"schema":"https://github.com/citation-style-language/schema/raw/master/csl-citation.json"} </w:instrText>
      </w:r>
      <w:r w:rsidR="00BB23CC">
        <w:rPr>
          <w:rFonts w:ascii="Times New Roman" w:hAnsi="Times New Roman" w:cs="Times New Roman"/>
          <w:sz w:val="24"/>
          <w:szCs w:val="24"/>
        </w:rPr>
        <w:fldChar w:fldCharType="separate"/>
      </w:r>
      <w:r w:rsidR="00F31A70" w:rsidRPr="00F31A70">
        <w:rPr>
          <w:rFonts w:ascii="Times New Roman" w:hAnsi="Times New Roman" w:cs="Times New Roman"/>
          <w:sz w:val="24"/>
        </w:rPr>
        <w:t>(2022)</w:t>
      </w:r>
      <w:r w:rsidR="00BB23CC">
        <w:rPr>
          <w:rFonts w:ascii="Times New Roman" w:hAnsi="Times New Roman" w:cs="Times New Roman"/>
          <w:sz w:val="24"/>
          <w:szCs w:val="24"/>
        </w:rPr>
        <w:fldChar w:fldCharType="end"/>
      </w:r>
      <w:r w:rsidR="00BB23CC">
        <w:rPr>
          <w:rFonts w:ascii="Times New Roman" w:hAnsi="Times New Roman" w:cs="Times New Roman"/>
          <w:sz w:val="24"/>
          <w:szCs w:val="24"/>
        </w:rPr>
        <w:t xml:space="preserve"> finds that technical indicators are the most important features for predicting solar stock price direction. </w:t>
      </w:r>
    </w:p>
    <w:p w14:paraId="1828E7B5" w14:textId="11F05A0F" w:rsidR="00BB23CC" w:rsidRDefault="0056363F" w:rsidP="00BB23CC">
      <w:pPr>
        <w:spacing w:after="0" w:line="480" w:lineRule="auto"/>
        <w:ind w:firstLine="720"/>
        <w:rPr>
          <w:rFonts w:ascii="Times New Roman" w:hAnsi="Times New Roman" w:cs="Times New Roman"/>
          <w:sz w:val="24"/>
          <w:szCs w:val="24"/>
          <w:lang w:bidi="en-US"/>
        </w:rPr>
      </w:pPr>
      <w:r>
        <w:rPr>
          <w:rFonts w:ascii="Times New Roman" w:hAnsi="Times New Roman" w:cs="Times New Roman"/>
          <w:sz w:val="24"/>
          <w:szCs w:val="24"/>
        </w:rPr>
        <w:t>Among the non-technical indicators, VIX</w:t>
      </w:r>
      <w:r w:rsidR="007E186C">
        <w:rPr>
          <w:rFonts w:ascii="Times New Roman" w:hAnsi="Times New Roman" w:cs="Times New Roman"/>
          <w:sz w:val="24"/>
          <w:szCs w:val="24"/>
        </w:rPr>
        <w:t xml:space="preserve"> </w:t>
      </w:r>
      <w:r w:rsidR="00745C66">
        <w:rPr>
          <w:rFonts w:ascii="Times New Roman" w:hAnsi="Times New Roman" w:cs="Times New Roman"/>
          <w:sz w:val="24"/>
          <w:szCs w:val="24"/>
        </w:rPr>
        <w:t>and</w:t>
      </w:r>
      <w:r>
        <w:rPr>
          <w:rFonts w:ascii="Times New Roman" w:hAnsi="Times New Roman" w:cs="Times New Roman"/>
          <w:sz w:val="24"/>
          <w:szCs w:val="24"/>
        </w:rPr>
        <w:t xml:space="preserve"> OVX are important</w:t>
      </w:r>
      <w:r w:rsidR="003467AF">
        <w:rPr>
          <w:rFonts w:ascii="Times New Roman" w:hAnsi="Times New Roman" w:cs="Times New Roman"/>
          <w:sz w:val="24"/>
          <w:szCs w:val="24"/>
        </w:rPr>
        <w:t xml:space="preserve"> features for the 15 and 20 day forecast horizons</w:t>
      </w:r>
      <w:r>
        <w:rPr>
          <w:rFonts w:ascii="Times New Roman" w:hAnsi="Times New Roman" w:cs="Times New Roman"/>
          <w:sz w:val="24"/>
          <w:szCs w:val="24"/>
        </w:rPr>
        <w:t xml:space="preserve">. The VIX measures the volatility of the S&amp;P 500 and it is not surprising that VIX is an important feature for predicting clean energy ETFs since market volatility can have a pronounced impact on asset prices. </w:t>
      </w:r>
      <w:r w:rsidR="00BB23CC">
        <w:rPr>
          <w:rFonts w:ascii="Times New Roman" w:hAnsi="Times New Roman" w:cs="Times New Roman"/>
          <w:sz w:val="24"/>
          <w:szCs w:val="24"/>
        </w:rPr>
        <w:t xml:space="preserve">The importance of OVX </w:t>
      </w:r>
      <w:r w:rsidR="00E465DF">
        <w:rPr>
          <w:rFonts w:ascii="Times New Roman" w:hAnsi="Times New Roman" w:cs="Times New Roman"/>
          <w:sz w:val="24"/>
          <w:szCs w:val="24"/>
        </w:rPr>
        <w:t xml:space="preserve">for predicting clean energy stock prices </w:t>
      </w:r>
      <w:r w:rsidR="00BB23CC">
        <w:rPr>
          <w:rFonts w:ascii="Times New Roman" w:hAnsi="Times New Roman" w:cs="Times New Roman"/>
          <w:sz w:val="24"/>
          <w:szCs w:val="24"/>
        </w:rPr>
        <w:t xml:space="preserve">is </w:t>
      </w:r>
      <w:r w:rsidR="00FC5F9B">
        <w:rPr>
          <w:rFonts w:ascii="Times New Roman" w:hAnsi="Times New Roman" w:cs="Times New Roman"/>
          <w:sz w:val="24"/>
          <w:szCs w:val="24"/>
        </w:rPr>
        <w:t>consistent</w:t>
      </w:r>
      <w:r w:rsidR="007E186C">
        <w:rPr>
          <w:rFonts w:ascii="Times New Roman" w:hAnsi="Times New Roman" w:cs="Times New Roman"/>
          <w:sz w:val="24"/>
          <w:szCs w:val="24"/>
        </w:rPr>
        <w:t xml:space="preserve"> </w:t>
      </w:r>
      <w:r w:rsidR="00BB23CC">
        <w:rPr>
          <w:rFonts w:ascii="Times New Roman" w:hAnsi="Times New Roman" w:cs="Times New Roman"/>
          <w:sz w:val="24"/>
          <w:szCs w:val="24"/>
        </w:rPr>
        <w:t xml:space="preserve"> with recent research demonstrating that o</w:t>
      </w:r>
      <w:r w:rsidR="00BB23CC" w:rsidRPr="00535A0C">
        <w:rPr>
          <w:rFonts w:ascii="Times New Roman" w:hAnsi="Times New Roman" w:cs="Times New Roman"/>
          <w:sz w:val="24"/>
          <w:szCs w:val="24"/>
        </w:rPr>
        <w:t xml:space="preserve">il price volatility has been identified as an important leading economic indicator </w:t>
      </w:r>
      <w:r w:rsidR="00BB23CC" w:rsidRPr="00535A0C">
        <w:rPr>
          <w:rFonts w:ascii="Times New Roman" w:hAnsi="Times New Roman" w:cs="Times New Roman"/>
          <w:sz w:val="24"/>
          <w:szCs w:val="24"/>
        </w:rPr>
        <w:fldChar w:fldCharType="begin"/>
      </w:r>
      <w:r w:rsidR="002A666A">
        <w:rPr>
          <w:rFonts w:ascii="Times New Roman" w:hAnsi="Times New Roman" w:cs="Times New Roman"/>
          <w:sz w:val="24"/>
          <w:szCs w:val="24"/>
        </w:rPr>
        <w:instrText xml:space="preserve"> ADDIN ZOTERO_ITEM CSL_CITATION {"citationID":"6GiSN1bw","properties":{"formattedCitation":"(Chatziantoniou et al., 2021)","plainCitation":"(Chatziantoniou et al., 2021)","noteIndex":0},"citationItems":[{"id":3602,"uris":["http://zotero.org/users/5823779/items/ATTH9CI9"],"itemData":{"id":3602,"type":"article-journal","abstract":"In this paper we investigate global determinants of oil price volatility by employing a time-varying parameter vector autoregressive (TVP-VAR) model. We focus on realised volatility and consider the impact from a set of potential determinants including oil supply, oil demand, oil inventory, ﬁnancial market uncertainty, ﬁnancial interbank stress, as well as, ﬁnancial trends in different currencies. We investigate the impact of these factors on realised volatility utilising monthly data over the period 1990:1–2019:5. Findings show that all factors can be conducive to higher levels of realised oil price volatility particularly in the short run. What can further be noticed, is that the magnitude of the corresponding impulse response functions may differ across time and this could largely be attributed to speciﬁc intervals of ﬁnancial crises and economic recessions. Nevertheless, we show that shocks originating to the ﬁnancial markets tend to be more important for oil price volatility. Our ﬁndings are closely linked to the implications regarding the ﬁnancialisation of the oil market.","container-title":"Energy Economics","DOI":"10.1016/j.eneco.2020.105092","ISSN":"01409883","journalAbbreviation":"Energy Economics","language":"en","page":"105092","source":"DOI.org (Crossref)","title":"A closer look into the global determinants of oil price volatility","volume":"95","author":[{"family":"Chatziantoniou","given":"Ioannis"},{"family":"Filippidis","given":"Michail"},{"family":"Filis","given":"George"},{"family":"Gabauer","given":"David"}],"issued":{"date-parts":[["2021",3]]}}}],"schema":"https://github.com/citation-style-language/schema/raw/master/csl-citation.json"} </w:instrText>
      </w:r>
      <w:r w:rsidR="00BB23CC" w:rsidRPr="00535A0C">
        <w:rPr>
          <w:rFonts w:ascii="Times New Roman" w:hAnsi="Times New Roman" w:cs="Times New Roman"/>
          <w:sz w:val="24"/>
          <w:szCs w:val="24"/>
        </w:rPr>
        <w:fldChar w:fldCharType="separate"/>
      </w:r>
      <w:r w:rsidR="00F31A70" w:rsidRPr="00F31A70">
        <w:rPr>
          <w:rFonts w:ascii="Times New Roman" w:hAnsi="Times New Roman" w:cs="Times New Roman"/>
          <w:sz w:val="24"/>
        </w:rPr>
        <w:t>(Chatziantoniou et al., 2021)</w:t>
      </w:r>
      <w:r w:rsidR="00BB23CC" w:rsidRPr="00535A0C">
        <w:rPr>
          <w:rFonts w:ascii="Times New Roman" w:hAnsi="Times New Roman" w:cs="Times New Roman"/>
          <w:sz w:val="24"/>
          <w:szCs w:val="24"/>
        </w:rPr>
        <w:fldChar w:fldCharType="end"/>
      </w:r>
      <w:r w:rsidR="00BB23CC" w:rsidRPr="00535A0C">
        <w:rPr>
          <w:rFonts w:ascii="Times New Roman" w:hAnsi="Times New Roman" w:cs="Times New Roman"/>
          <w:sz w:val="24"/>
          <w:szCs w:val="24"/>
        </w:rPr>
        <w:t>.</w:t>
      </w:r>
      <w:r w:rsidR="00F93FA4">
        <w:rPr>
          <w:rFonts w:ascii="Times New Roman" w:hAnsi="Times New Roman" w:cs="Times New Roman"/>
          <w:sz w:val="24"/>
          <w:szCs w:val="24"/>
        </w:rPr>
        <w:t xml:space="preserve"> </w:t>
      </w:r>
      <w:r w:rsidR="00745C66">
        <w:rPr>
          <w:rFonts w:ascii="Times New Roman" w:hAnsi="Times New Roman" w:cs="Times New Roman"/>
          <w:sz w:val="24"/>
          <w:szCs w:val="24"/>
        </w:rPr>
        <w:t xml:space="preserve">The EPU is the most important non-technical feature for predicting 20-day QCLN. </w:t>
      </w:r>
      <w:r w:rsidR="00BA5206">
        <w:rPr>
          <w:rFonts w:ascii="Times New Roman" w:hAnsi="Times New Roman" w:cs="Times New Roman"/>
          <w:sz w:val="24"/>
          <w:szCs w:val="24"/>
        </w:rPr>
        <w:t xml:space="preserve">This may be due to QCLN having a high concentration (56% of the total assets are accounted for by the top 10 stocks) that makes it more susceptive to changes in economic policy uncertainty. </w:t>
      </w:r>
      <w:r w:rsidR="00F93FA4">
        <w:rPr>
          <w:rFonts w:ascii="Times New Roman" w:hAnsi="Times New Roman" w:cs="Times New Roman"/>
          <w:sz w:val="24"/>
          <w:szCs w:val="24"/>
        </w:rPr>
        <w:t xml:space="preserve">Perhaps somewhat surprising is that technology stock market volatility (VXN) is not a very important feature for predicting clean energy stock price direction. </w:t>
      </w:r>
      <w:r w:rsidR="00E8653C">
        <w:rPr>
          <w:rFonts w:ascii="Times New Roman" w:hAnsi="Times New Roman" w:cs="Times New Roman"/>
          <w:sz w:val="24"/>
          <w:szCs w:val="24"/>
        </w:rPr>
        <w:t>Historically, o</w:t>
      </w:r>
      <w:r w:rsidR="00F93FA4">
        <w:rPr>
          <w:rFonts w:ascii="Times New Roman" w:hAnsi="Times New Roman" w:cs="Times New Roman"/>
          <w:sz w:val="24"/>
          <w:szCs w:val="24"/>
        </w:rPr>
        <w:t xml:space="preserve">ne of the most cited criticisms of the adoption of clean energy is that it is too expensive and very much dependent upon technological innovation. </w:t>
      </w:r>
      <w:r w:rsidR="00E8653C">
        <w:rPr>
          <w:rFonts w:ascii="Times New Roman" w:hAnsi="Times New Roman" w:cs="Times New Roman"/>
          <w:sz w:val="24"/>
          <w:szCs w:val="24"/>
        </w:rPr>
        <w:t xml:space="preserve">But things have changed. The levelized cost of clean energy like </w:t>
      </w:r>
      <w:r w:rsidR="00E8653C">
        <w:rPr>
          <w:rFonts w:ascii="Times New Roman" w:hAnsi="Times New Roman" w:cs="Times New Roman"/>
          <w:sz w:val="24"/>
          <w:szCs w:val="24"/>
        </w:rPr>
        <w:lastRenderedPageBreak/>
        <w:t xml:space="preserve">solar and on shore wind has fallen dramatically since 2010 and these clean energy sources are now </w:t>
      </w:r>
      <w:r w:rsidR="00EF3D0A">
        <w:rPr>
          <w:rFonts w:ascii="Times New Roman" w:hAnsi="Times New Roman" w:cs="Times New Roman"/>
          <w:sz w:val="24"/>
          <w:szCs w:val="24"/>
        </w:rPr>
        <w:t>less expensive</w:t>
      </w:r>
      <w:r w:rsidR="00E8653C">
        <w:rPr>
          <w:rFonts w:ascii="Times New Roman" w:hAnsi="Times New Roman" w:cs="Times New Roman"/>
          <w:sz w:val="24"/>
          <w:szCs w:val="24"/>
        </w:rPr>
        <w:t xml:space="preserve"> than that of coal </w:t>
      </w:r>
      <w:r w:rsidR="00E8653C">
        <w:rPr>
          <w:rFonts w:ascii="Times New Roman" w:hAnsi="Times New Roman" w:cs="Times New Roman"/>
          <w:sz w:val="24"/>
          <w:szCs w:val="24"/>
        </w:rPr>
        <w:fldChar w:fldCharType="begin"/>
      </w:r>
      <w:r w:rsidR="002A666A">
        <w:rPr>
          <w:rFonts w:ascii="Times New Roman" w:hAnsi="Times New Roman" w:cs="Times New Roman"/>
          <w:sz w:val="24"/>
          <w:szCs w:val="24"/>
        </w:rPr>
        <w:instrText xml:space="preserve"> ADDIN ZOTERO_ITEM CSL_CITATION {"citationID":"hFyGSTwv","properties":{"formattedCitation":"(The Economist, 2020)","plainCitation":"(The Economist, 2020)","noteIndex":0},"citationItems":[{"id":2136,"uris":["http://zotero.org/users/5823779/items/SP2LRWII"],"itemData":{"id":2136,"type":"article-magazine","container-title":"The Economist","ISSN":"0013-0613","page":"May 23 edition","source":"The Economist","title":"The world’s energy system must be transformed completely","author":[{"family":"The Economist","given":""}],"issued":{"date-parts":[["2020"]]}}}],"schema":"https://github.com/citation-style-language/schema/raw/master/csl-citation.json"} </w:instrText>
      </w:r>
      <w:r w:rsidR="00E8653C">
        <w:rPr>
          <w:rFonts w:ascii="Times New Roman" w:hAnsi="Times New Roman" w:cs="Times New Roman"/>
          <w:sz w:val="24"/>
          <w:szCs w:val="24"/>
        </w:rPr>
        <w:fldChar w:fldCharType="separate"/>
      </w:r>
      <w:r w:rsidR="00F31A70" w:rsidRPr="00F31A70">
        <w:rPr>
          <w:rFonts w:ascii="Times New Roman" w:hAnsi="Times New Roman" w:cs="Times New Roman"/>
          <w:sz w:val="24"/>
        </w:rPr>
        <w:t>(The Economist, 2020)</w:t>
      </w:r>
      <w:r w:rsidR="00E8653C">
        <w:rPr>
          <w:rFonts w:ascii="Times New Roman" w:hAnsi="Times New Roman" w:cs="Times New Roman"/>
          <w:sz w:val="24"/>
          <w:szCs w:val="24"/>
        </w:rPr>
        <w:fldChar w:fldCharType="end"/>
      </w:r>
      <w:r w:rsidR="00E8653C">
        <w:rPr>
          <w:rFonts w:ascii="Times New Roman" w:hAnsi="Times New Roman" w:cs="Times New Roman"/>
          <w:sz w:val="24"/>
          <w:szCs w:val="24"/>
        </w:rPr>
        <w:t xml:space="preserve">. </w:t>
      </w:r>
    </w:p>
    <w:p w14:paraId="63E8A973" w14:textId="77777777" w:rsidR="00AE5E04" w:rsidRDefault="00AE5E04" w:rsidP="00200037">
      <w:pPr>
        <w:spacing w:after="0" w:line="480" w:lineRule="auto"/>
        <w:ind w:firstLine="720"/>
        <w:rPr>
          <w:rFonts w:ascii="Times New Roman" w:hAnsi="Times New Roman" w:cs="Times New Roman"/>
          <w:sz w:val="24"/>
          <w:szCs w:val="24"/>
        </w:rPr>
      </w:pPr>
    </w:p>
    <w:p w14:paraId="55E75221" w14:textId="00B4A72E" w:rsidR="00A31F3E" w:rsidRPr="00FF7357" w:rsidRDefault="005164AC" w:rsidP="00707934">
      <w:pPr>
        <w:keepNext/>
        <w:spacing w:after="0" w:line="480" w:lineRule="auto"/>
        <w:rPr>
          <w:rFonts w:ascii="Times New Roman" w:hAnsi="Times New Roman" w:cs="Times New Roman"/>
          <w:b/>
          <w:sz w:val="24"/>
          <w:szCs w:val="24"/>
        </w:rPr>
      </w:pPr>
      <w:r>
        <w:rPr>
          <w:rFonts w:ascii="Times New Roman" w:hAnsi="Times New Roman" w:cs="Times New Roman"/>
          <w:b/>
          <w:sz w:val="24"/>
          <w:szCs w:val="24"/>
        </w:rPr>
        <w:t>6</w:t>
      </w:r>
      <w:r w:rsidR="00FF7357">
        <w:rPr>
          <w:rFonts w:ascii="Times New Roman" w:hAnsi="Times New Roman" w:cs="Times New Roman"/>
          <w:b/>
          <w:sz w:val="24"/>
          <w:szCs w:val="24"/>
        </w:rPr>
        <w:t xml:space="preserve">. </w:t>
      </w:r>
      <w:r w:rsidR="00A31F3E" w:rsidRPr="00FF7357">
        <w:rPr>
          <w:rFonts w:ascii="Times New Roman" w:hAnsi="Times New Roman" w:cs="Times New Roman"/>
          <w:b/>
          <w:sz w:val="24"/>
          <w:szCs w:val="24"/>
        </w:rPr>
        <w:t>Conclusions</w:t>
      </w:r>
      <w:r w:rsidR="006D4B83">
        <w:rPr>
          <w:rFonts w:ascii="Times New Roman" w:hAnsi="Times New Roman" w:cs="Times New Roman"/>
          <w:b/>
          <w:sz w:val="24"/>
          <w:szCs w:val="24"/>
        </w:rPr>
        <w:t xml:space="preserve"> and </w:t>
      </w:r>
      <w:r w:rsidR="00557312">
        <w:rPr>
          <w:rFonts w:ascii="Times New Roman" w:hAnsi="Times New Roman" w:cs="Times New Roman"/>
          <w:b/>
          <w:sz w:val="24"/>
          <w:szCs w:val="24"/>
        </w:rPr>
        <w:t>p</w:t>
      </w:r>
      <w:r w:rsidR="009410F8">
        <w:rPr>
          <w:rFonts w:ascii="Times New Roman" w:hAnsi="Times New Roman" w:cs="Times New Roman"/>
          <w:b/>
          <w:sz w:val="24"/>
          <w:szCs w:val="24"/>
        </w:rPr>
        <w:t>ractical</w:t>
      </w:r>
      <w:r w:rsidR="00557312">
        <w:rPr>
          <w:rFonts w:ascii="Times New Roman" w:hAnsi="Times New Roman" w:cs="Times New Roman"/>
          <w:b/>
          <w:sz w:val="24"/>
          <w:szCs w:val="24"/>
        </w:rPr>
        <w:t xml:space="preserve"> </w:t>
      </w:r>
      <w:r w:rsidR="006D4B83">
        <w:rPr>
          <w:rFonts w:ascii="Times New Roman" w:hAnsi="Times New Roman" w:cs="Times New Roman"/>
          <w:b/>
          <w:sz w:val="24"/>
          <w:szCs w:val="24"/>
        </w:rPr>
        <w:t>implications</w:t>
      </w:r>
    </w:p>
    <w:p w14:paraId="365163EE" w14:textId="51BCAD22" w:rsidR="00BA5FBB" w:rsidRDefault="00625D2B" w:rsidP="009733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Clean energy is, c</w:t>
      </w:r>
      <w:r w:rsidR="008E7189">
        <w:rPr>
          <w:rFonts w:ascii="Times New Roman" w:hAnsi="Times New Roman" w:cs="Times New Roman"/>
          <w:sz w:val="24"/>
          <w:szCs w:val="24"/>
        </w:rPr>
        <w:t xml:space="preserve">urrently, the </w:t>
      </w:r>
      <w:r w:rsidR="000A58F8">
        <w:rPr>
          <w:rFonts w:ascii="Times New Roman" w:hAnsi="Times New Roman" w:cs="Times New Roman"/>
          <w:sz w:val="24"/>
          <w:szCs w:val="24"/>
        </w:rPr>
        <w:t xml:space="preserve">fastest growing energy source. </w:t>
      </w:r>
      <w:r>
        <w:rPr>
          <w:rFonts w:ascii="Times New Roman" w:hAnsi="Times New Roman" w:cs="Times New Roman"/>
          <w:sz w:val="24"/>
          <w:szCs w:val="24"/>
        </w:rPr>
        <w:t>This growth</w:t>
      </w:r>
      <w:r w:rsidR="008E7189">
        <w:rPr>
          <w:rFonts w:ascii="Times New Roman" w:hAnsi="Times New Roman" w:cs="Times New Roman"/>
          <w:sz w:val="24"/>
          <w:szCs w:val="24"/>
        </w:rPr>
        <w:t xml:space="preserve"> </w:t>
      </w:r>
      <w:r w:rsidR="00BA5206">
        <w:rPr>
          <w:rFonts w:ascii="Times New Roman" w:hAnsi="Times New Roman" w:cs="Times New Roman"/>
          <w:sz w:val="24"/>
          <w:szCs w:val="24"/>
        </w:rPr>
        <w:t xml:space="preserve">in </w:t>
      </w:r>
      <w:r w:rsidR="00136C18">
        <w:rPr>
          <w:rFonts w:ascii="Times New Roman" w:hAnsi="Times New Roman" w:cs="Times New Roman"/>
          <w:sz w:val="24"/>
          <w:szCs w:val="24"/>
        </w:rPr>
        <w:t xml:space="preserve">clean energy </w:t>
      </w:r>
      <w:r>
        <w:rPr>
          <w:rFonts w:ascii="Times New Roman" w:hAnsi="Times New Roman" w:cs="Times New Roman"/>
          <w:sz w:val="24"/>
          <w:szCs w:val="24"/>
        </w:rPr>
        <w:t>is</w:t>
      </w:r>
      <w:r w:rsidR="000A58F8">
        <w:rPr>
          <w:rFonts w:ascii="Times New Roman" w:hAnsi="Times New Roman" w:cs="Times New Roman"/>
          <w:sz w:val="24"/>
          <w:szCs w:val="24"/>
        </w:rPr>
        <w:t xml:space="preserve"> expected to continue</w:t>
      </w:r>
      <w:r w:rsidR="00225260">
        <w:rPr>
          <w:rFonts w:ascii="Times New Roman" w:hAnsi="Times New Roman" w:cs="Times New Roman"/>
          <w:sz w:val="24"/>
          <w:szCs w:val="24"/>
        </w:rPr>
        <w:t xml:space="preserve"> </w:t>
      </w:r>
      <w:r w:rsidR="00136C18">
        <w:rPr>
          <w:rFonts w:ascii="Times New Roman" w:hAnsi="Times New Roman" w:cs="Times New Roman"/>
          <w:sz w:val="24"/>
          <w:szCs w:val="24"/>
        </w:rPr>
        <w:t xml:space="preserve">as countries transition to lower carbon energy sources. Clean </w:t>
      </w:r>
      <w:r w:rsidR="000A58F8" w:rsidRPr="00FE6626">
        <w:rPr>
          <w:rFonts w:ascii="Times New Roman" w:hAnsi="Times New Roman" w:cs="Times New Roman"/>
          <w:sz w:val="24"/>
          <w:szCs w:val="24"/>
        </w:rPr>
        <w:t xml:space="preserve">energy </w:t>
      </w:r>
      <w:r w:rsidR="00136C18">
        <w:rPr>
          <w:rFonts w:ascii="Times New Roman" w:hAnsi="Times New Roman" w:cs="Times New Roman"/>
          <w:sz w:val="24"/>
          <w:szCs w:val="24"/>
        </w:rPr>
        <w:t xml:space="preserve">equities are growing in popularity </w:t>
      </w:r>
      <w:r w:rsidR="00225260">
        <w:rPr>
          <w:rFonts w:ascii="Times New Roman" w:hAnsi="Times New Roman" w:cs="Times New Roman"/>
          <w:sz w:val="24"/>
          <w:szCs w:val="24"/>
        </w:rPr>
        <w:t xml:space="preserve">and </w:t>
      </w:r>
      <w:r w:rsidR="008E7189">
        <w:rPr>
          <w:rFonts w:ascii="Times New Roman" w:hAnsi="Times New Roman" w:cs="Times New Roman"/>
          <w:sz w:val="24"/>
          <w:szCs w:val="24"/>
        </w:rPr>
        <w:t xml:space="preserve">investors need </w:t>
      </w:r>
      <w:r w:rsidR="00225260">
        <w:rPr>
          <w:rFonts w:ascii="Times New Roman" w:hAnsi="Times New Roman" w:cs="Times New Roman"/>
          <w:sz w:val="24"/>
          <w:szCs w:val="24"/>
        </w:rPr>
        <w:t xml:space="preserve">accurate </w:t>
      </w:r>
      <w:r w:rsidR="00136C18">
        <w:rPr>
          <w:rFonts w:ascii="Times New Roman" w:hAnsi="Times New Roman" w:cs="Times New Roman"/>
          <w:sz w:val="24"/>
          <w:szCs w:val="24"/>
        </w:rPr>
        <w:t>clean energy</w:t>
      </w:r>
      <w:r w:rsidR="000A58F8" w:rsidRPr="00FE6626">
        <w:rPr>
          <w:rFonts w:ascii="Times New Roman" w:hAnsi="Times New Roman" w:cs="Times New Roman"/>
          <w:sz w:val="24"/>
          <w:szCs w:val="24"/>
        </w:rPr>
        <w:t xml:space="preserve"> stock price</w:t>
      </w:r>
      <w:r w:rsidR="00225260">
        <w:rPr>
          <w:rFonts w:ascii="Times New Roman" w:hAnsi="Times New Roman" w:cs="Times New Roman"/>
          <w:sz w:val="24"/>
          <w:szCs w:val="24"/>
        </w:rPr>
        <w:t xml:space="preserve"> forecast</w:t>
      </w:r>
      <w:r w:rsidR="000A58F8" w:rsidRPr="00FE6626">
        <w:rPr>
          <w:rFonts w:ascii="Times New Roman" w:hAnsi="Times New Roman" w:cs="Times New Roman"/>
          <w:sz w:val="24"/>
          <w:szCs w:val="24"/>
        </w:rPr>
        <w:t>s</w:t>
      </w:r>
      <w:r w:rsidR="008E7189">
        <w:rPr>
          <w:rFonts w:ascii="Times New Roman" w:hAnsi="Times New Roman" w:cs="Times New Roman"/>
          <w:sz w:val="24"/>
          <w:szCs w:val="24"/>
        </w:rPr>
        <w:t xml:space="preserve"> in order to make sound investment decisions</w:t>
      </w:r>
      <w:r w:rsidR="000A58F8" w:rsidRPr="00FE6626">
        <w:rPr>
          <w:rFonts w:ascii="Times New Roman" w:hAnsi="Times New Roman" w:cs="Times New Roman"/>
          <w:sz w:val="24"/>
          <w:szCs w:val="24"/>
        </w:rPr>
        <w:t xml:space="preserve">. </w:t>
      </w:r>
      <w:r w:rsidR="000A58F8">
        <w:rPr>
          <w:rFonts w:ascii="Times New Roman" w:hAnsi="Times New Roman" w:cs="Times New Roman"/>
          <w:sz w:val="24"/>
          <w:szCs w:val="24"/>
        </w:rPr>
        <w:t xml:space="preserve">The </w:t>
      </w:r>
      <w:r w:rsidR="008E7189">
        <w:rPr>
          <w:rFonts w:ascii="Times New Roman" w:hAnsi="Times New Roman" w:cs="Times New Roman"/>
          <w:sz w:val="24"/>
          <w:szCs w:val="24"/>
        </w:rPr>
        <w:t>objective</w:t>
      </w:r>
      <w:r w:rsidR="000A58F8">
        <w:rPr>
          <w:rFonts w:ascii="Times New Roman" w:hAnsi="Times New Roman" w:cs="Times New Roman"/>
          <w:sz w:val="24"/>
          <w:szCs w:val="24"/>
        </w:rPr>
        <w:t xml:space="preserve"> of this paper is to </w:t>
      </w:r>
      <w:r w:rsidR="00EF3D0A">
        <w:rPr>
          <w:rFonts w:ascii="Times New Roman" w:hAnsi="Times New Roman" w:cs="Times New Roman"/>
          <w:sz w:val="24"/>
          <w:szCs w:val="24"/>
        </w:rPr>
        <w:t xml:space="preserve">determine how important volatility and uncertainty are for </w:t>
      </w:r>
      <w:r w:rsidR="000A58F8">
        <w:rPr>
          <w:rFonts w:ascii="Times New Roman" w:hAnsi="Times New Roman" w:cs="Times New Roman"/>
          <w:sz w:val="24"/>
          <w:szCs w:val="24"/>
        </w:rPr>
        <w:t>forecast</w:t>
      </w:r>
      <w:r w:rsidR="00EF3D0A">
        <w:rPr>
          <w:rFonts w:ascii="Times New Roman" w:hAnsi="Times New Roman" w:cs="Times New Roman"/>
          <w:sz w:val="24"/>
          <w:szCs w:val="24"/>
        </w:rPr>
        <w:t>ing</w:t>
      </w:r>
      <w:r w:rsidR="000A58F8">
        <w:rPr>
          <w:rFonts w:ascii="Times New Roman" w:hAnsi="Times New Roman" w:cs="Times New Roman"/>
          <w:sz w:val="24"/>
          <w:szCs w:val="24"/>
        </w:rPr>
        <w:t xml:space="preserve"> </w:t>
      </w:r>
      <w:r w:rsidR="00136C18">
        <w:rPr>
          <w:rFonts w:ascii="Times New Roman" w:hAnsi="Times New Roman" w:cs="Times New Roman"/>
          <w:sz w:val="24"/>
          <w:szCs w:val="24"/>
        </w:rPr>
        <w:t>clean energy</w:t>
      </w:r>
      <w:r w:rsidR="000A58F8">
        <w:rPr>
          <w:rFonts w:ascii="Times New Roman" w:hAnsi="Times New Roman" w:cs="Times New Roman"/>
          <w:sz w:val="24"/>
          <w:szCs w:val="24"/>
        </w:rPr>
        <w:t xml:space="preserve"> stock price direction. </w:t>
      </w:r>
      <w:r w:rsidR="00136C18">
        <w:rPr>
          <w:rFonts w:ascii="Times New Roman" w:hAnsi="Times New Roman" w:cs="Times New Roman"/>
          <w:sz w:val="24"/>
          <w:szCs w:val="24"/>
        </w:rPr>
        <w:t>Clean energy</w:t>
      </w:r>
      <w:r w:rsidR="000A58F8">
        <w:rPr>
          <w:rFonts w:ascii="Times New Roman" w:hAnsi="Times New Roman" w:cs="Times New Roman"/>
          <w:sz w:val="24"/>
          <w:szCs w:val="24"/>
        </w:rPr>
        <w:t xml:space="preserve"> stock prices are measured using th</w:t>
      </w:r>
      <w:r w:rsidR="00136C18">
        <w:rPr>
          <w:rFonts w:ascii="Times New Roman" w:hAnsi="Times New Roman" w:cs="Times New Roman"/>
          <w:sz w:val="24"/>
          <w:szCs w:val="24"/>
        </w:rPr>
        <w:t>ree widely traded ETFs</w:t>
      </w:r>
      <w:r w:rsidR="000A58F8">
        <w:rPr>
          <w:rFonts w:ascii="Times New Roman" w:hAnsi="Times New Roman" w:cs="Times New Roman"/>
          <w:sz w:val="24"/>
          <w:szCs w:val="24"/>
        </w:rPr>
        <w:t xml:space="preserve">.  </w:t>
      </w:r>
      <w:r w:rsidR="00D62E08">
        <w:rPr>
          <w:rFonts w:ascii="Times New Roman" w:hAnsi="Times New Roman" w:cs="Times New Roman"/>
          <w:sz w:val="24"/>
          <w:szCs w:val="24"/>
        </w:rPr>
        <w:t xml:space="preserve"> </w:t>
      </w:r>
    </w:p>
    <w:p w14:paraId="097BF8EF" w14:textId="6A403730" w:rsidR="00D3744F" w:rsidRDefault="00E30F60" w:rsidP="009733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introduction to this paper posed three important questions</w:t>
      </w:r>
      <w:r w:rsidR="008E7189">
        <w:rPr>
          <w:rFonts w:ascii="Times New Roman" w:hAnsi="Times New Roman" w:cs="Times New Roman"/>
          <w:sz w:val="24"/>
          <w:szCs w:val="24"/>
        </w:rPr>
        <w:t xml:space="preserve"> regarding forecasting clean energy equity prices.</w:t>
      </w:r>
      <w:r>
        <w:rPr>
          <w:rFonts w:ascii="Times New Roman" w:hAnsi="Times New Roman" w:cs="Times New Roman"/>
          <w:sz w:val="24"/>
          <w:szCs w:val="24"/>
        </w:rPr>
        <w:t xml:space="preserve"> </w:t>
      </w:r>
      <w:r w:rsidR="00D3744F">
        <w:rPr>
          <w:rFonts w:ascii="Times New Roman" w:hAnsi="Times New Roman" w:cs="Times New Roman"/>
          <w:sz w:val="24"/>
          <w:szCs w:val="24"/>
        </w:rPr>
        <w:t xml:space="preserve">In terms of </w:t>
      </w:r>
      <w:r>
        <w:rPr>
          <w:rFonts w:ascii="Times New Roman" w:hAnsi="Times New Roman" w:cs="Times New Roman"/>
          <w:sz w:val="24"/>
          <w:szCs w:val="24"/>
        </w:rPr>
        <w:t>the first question, “</w:t>
      </w:r>
      <w:r w:rsidR="00D3744F">
        <w:rPr>
          <w:rFonts w:ascii="Times New Roman" w:hAnsi="Times New Roman" w:cs="Times New Roman"/>
          <w:sz w:val="24"/>
          <w:szCs w:val="24"/>
        </w:rPr>
        <w:t>which forecasting method to use</w:t>
      </w:r>
      <w:r>
        <w:rPr>
          <w:rFonts w:ascii="Times New Roman" w:hAnsi="Times New Roman" w:cs="Times New Roman"/>
          <w:sz w:val="24"/>
          <w:szCs w:val="24"/>
        </w:rPr>
        <w:t>?”</w:t>
      </w:r>
      <w:r w:rsidR="00D3744F">
        <w:rPr>
          <w:rFonts w:ascii="Times New Roman" w:hAnsi="Times New Roman" w:cs="Times New Roman"/>
          <w:sz w:val="24"/>
          <w:szCs w:val="24"/>
        </w:rPr>
        <w:t>, t</w:t>
      </w:r>
      <w:r w:rsidR="001B61B5">
        <w:rPr>
          <w:rFonts w:ascii="Times New Roman" w:hAnsi="Times New Roman" w:cs="Times New Roman"/>
          <w:sz w:val="24"/>
          <w:szCs w:val="24"/>
        </w:rPr>
        <w:t xml:space="preserve">his research </w:t>
      </w:r>
      <w:r w:rsidR="00D3744F">
        <w:rPr>
          <w:rFonts w:ascii="Times New Roman" w:hAnsi="Times New Roman" w:cs="Times New Roman"/>
          <w:sz w:val="24"/>
          <w:szCs w:val="24"/>
        </w:rPr>
        <w:t xml:space="preserve">finds </w:t>
      </w:r>
      <w:r w:rsidR="001B61B5" w:rsidRPr="00FE6626">
        <w:rPr>
          <w:rFonts w:ascii="Times New Roman" w:hAnsi="Times New Roman" w:cs="Times New Roman"/>
          <w:sz w:val="24"/>
          <w:szCs w:val="24"/>
        </w:rPr>
        <w:t xml:space="preserve">random forests, </w:t>
      </w:r>
      <w:r w:rsidR="0093397E">
        <w:rPr>
          <w:rFonts w:ascii="Times New Roman" w:hAnsi="Times New Roman" w:cs="Times New Roman"/>
          <w:sz w:val="24"/>
          <w:szCs w:val="24"/>
        </w:rPr>
        <w:t>stochastic gradient boosting</w:t>
      </w:r>
      <w:r w:rsidR="001B61B5" w:rsidRPr="00FE6626">
        <w:rPr>
          <w:rFonts w:ascii="Times New Roman" w:hAnsi="Times New Roman" w:cs="Times New Roman"/>
          <w:sz w:val="24"/>
          <w:szCs w:val="24"/>
        </w:rPr>
        <w:t xml:space="preserve">, </w:t>
      </w:r>
      <w:r w:rsidR="00D3744F">
        <w:rPr>
          <w:rFonts w:ascii="Times New Roman" w:hAnsi="Times New Roman" w:cs="Times New Roman"/>
          <w:sz w:val="24"/>
          <w:szCs w:val="24"/>
        </w:rPr>
        <w:t xml:space="preserve">and </w:t>
      </w:r>
      <w:r w:rsidR="001B61B5" w:rsidRPr="00FE6626">
        <w:rPr>
          <w:rFonts w:ascii="Times New Roman" w:hAnsi="Times New Roman" w:cs="Times New Roman"/>
          <w:sz w:val="24"/>
          <w:szCs w:val="24"/>
        </w:rPr>
        <w:t>extremely randomized tre</w:t>
      </w:r>
      <w:r w:rsidR="001B61B5">
        <w:rPr>
          <w:rFonts w:ascii="Times New Roman" w:hAnsi="Times New Roman" w:cs="Times New Roman"/>
          <w:sz w:val="24"/>
          <w:szCs w:val="24"/>
        </w:rPr>
        <w:t>e</w:t>
      </w:r>
      <w:r w:rsidR="001B61B5" w:rsidRPr="00FE6626">
        <w:rPr>
          <w:rFonts w:ascii="Times New Roman" w:hAnsi="Times New Roman" w:cs="Times New Roman"/>
          <w:sz w:val="24"/>
          <w:szCs w:val="24"/>
        </w:rPr>
        <w:t>s</w:t>
      </w:r>
      <w:r w:rsidR="00136C18">
        <w:rPr>
          <w:rFonts w:ascii="Times New Roman" w:hAnsi="Times New Roman" w:cs="Times New Roman"/>
          <w:sz w:val="24"/>
          <w:szCs w:val="24"/>
        </w:rPr>
        <w:t xml:space="preserve"> </w:t>
      </w:r>
      <w:r w:rsidR="00CF07AA">
        <w:rPr>
          <w:rFonts w:ascii="Times New Roman" w:hAnsi="Times New Roman" w:cs="Times New Roman"/>
          <w:sz w:val="24"/>
          <w:szCs w:val="24"/>
        </w:rPr>
        <w:t xml:space="preserve">produce </w:t>
      </w:r>
      <w:r w:rsidR="008E7189">
        <w:rPr>
          <w:rFonts w:ascii="Times New Roman" w:hAnsi="Times New Roman" w:cs="Times New Roman"/>
          <w:sz w:val="24"/>
          <w:szCs w:val="24"/>
        </w:rPr>
        <w:t xml:space="preserve">higher accuracy </w:t>
      </w:r>
      <w:r w:rsidR="00625D2B">
        <w:rPr>
          <w:rFonts w:ascii="Times New Roman" w:hAnsi="Times New Roman" w:cs="Times New Roman"/>
          <w:sz w:val="24"/>
          <w:szCs w:val="24"/>
        </w:rPr>
        <w:t xml:space="preserve">forecasts </w:t>
      </w:r>
      <w:r w:rsidR="00EF73DE">
        <w:rPr>
          <w:rFonts w:ascii="Times New Roman" w:hAnsi="Times New Roman" w:cs="Times New Roman"/>
          <w:sz w:val="24"/>
          <w:szCs w:val="24"/>
        </w:rPr>
        <w:t>than those from</w:t>
      </w:r>
      <w:r w:rsidR="001B61B5">
        <w:rPr>
          <w:rFonts w:ascii="Times New Roman" w:hAnsi="Times New Roman" w:cs="Times New Roman"/>
          <w:sz w:val="24"/>
          <w:szCs w:val="24"/>
        </w:rPr>
        <w:t xml:space="preserve"> </w:t>
      </w:r>
      <w:r w:rsidR="005D4FA0">
        <w:rPr>
          <w:rFonts w:ascii="Times New Roman" w:hAnsi="Times New Roman" w:cs="Times New Roman"/>
          <w:sz w:val="24"/>
          <w:szCs w:val="24"/>
        </w:rPr>
        <w:t>Lasso</w:t>
      </w:r>
      <w:r w:rsidR="00136C18">
        <w:rPr>
          <w:rFonts w:ascii="Times New Roman" w:hAnsi="Times New Roman" w:cs="Times New Roman"/>
          <w:sz w:val="24"/>
          <w:szCs w:val="24"/>
        </w:rPr>
        <w:t xml:space="preserve"> </w:t>
      </w:r>
      <w:r w:rsidR="00CF07AA">
        <w:rPr>
          <w:rFonts w:ascii="Times New Roman" w:hAnsi="Times New Roman" w:cs="Times New Roman"/>
          <w:sz w:val="24"/>
          <w:szCs w:val="24"/>
        </w:rPr>
        <w:t>or</w:t>
      </w:r>
      <w:r w:rsidR="00136C18">
        <w:rPr>
          <w:rFonts w:ascii="Times New Roman" w:hAnsi="Times New Roman" w:cs="Times New Roman"/>
          <w:sz w:val="24"/>
          <w:szCs w:val="24"/>
        </w:rPr>
        <w:t xml:space="preserve"> Naïve Bayes</w:t>
      </w:r>
      <w:r w:rsidR="001B61B5">
        <w:rPr>
          <w:rFonts w:ascii="Times New Roman" w:hAnsi="Times New Roman" w:cs="Times New Roman"/>
          <w:sz w:val="24"/>
          <w:szCs w:val="24"/>
        </w:rPr>
        <w:t xml:space="preserve"> models. </w:t>
      </w:r>
      <w:r w:rsidR="00625D2B">
        <w:rPr>
          <w:rFonts w:ascii="Times New Roman" w:hAnsi="Times New Roman" w:cs="Times New Roman"/>
          <w:sz w:val="24"/>
          <w:szCs w:val="24"/>
        </w:rPr>
        <w:t>R</w:t>
      </w:r>
      <w:r w:rsidR="007657BE">
        <w:rPr>
          <w:rFonts w:ascii="Times New Roman" w:hAnsi="Times New Roman" w:cs="Times New Roman"/>
          <w:sz w:val="24"/>
          <w:szCs w:val="24"/>
        </w:rPr>
        <w:t xml:space="preserve">andom forests, </w:t>
      </w:r>
      <w:r w:rsidR="004121B1">
        <w:rPr>
          <w:rFonts w:ascii="Times New Roman" w:hAnsi="Times New Roman" w:cs="Times New Roman"/>
          <w:sz w:val="24"/>
          <w:szCs w:val="24"/>
        </w:rPr>
        <w:t>GBM</w:t>
      </w:r>
      <w:r w:rsidR="007657BE">
        <w:rPr>
          <w:rFonts w:ascii="Times New Roman" w:hAnsi="Times New Roman" w:cs="Times New Roman"/>
          <w:sz w:val="24"/>
          <w:szCs w:val="24"/>
        </w:rPr>
        <w:t xml:space="preserve">, and extremely randomized trees </w:t>
      </w:r>
      <w:r w:rsidR="00625D2B">
        <w:rPr>
          <w:rFonts w:ascii="Times New Roman" w:hAnsi="Times New Roman" w:cs="Times New Roman"/>
          <w:sz w:val="24"/>
          <w:szCs w:val="24"/>
        </w:rPr>
        <w:t xml:space="preserve">have prediction accuracy greater than </w:t>
      </w:r>
      <w:r w:rsidR="00EF73DE">
        <w:rPr>
          <w:rFonts w:ascii="Times New Roman" w:hAnsi="Times New Roman" w:cs="Times New Roman"/>
          <w:sz w:val="24"/>
          <w:szCs w:val="24"/>
        </w:rPr>
        <w:t>8</w:t>
      </w:r>
      <w:r w:rsidR="00D3744F">
        <w:rPr>
          <w:rFonts w:ascii="Times New Roman" w:hAnsi="Times New Roman" w:cs="Times New Roman"/>
          <w:sz w:val="24"/>
          <w:szCs w:val="24"/>
        </w:rPr>
        <w:t>0</w:t>
      </w:r>
      <w:r w:rsidR="00EF73DE">
        <w:rPr>
          <w:rFonts w:ascii="Times New Roman" w:hAnsi="Times New Roman" w:cs="Times New Roman"/>
          <w:sz w:val="24"/>
          <w:szCs w:val="24"/>
        </w:rPr>
        <w:t xml:space="preserve">% </w:t>
      </w:r>
      <w:r w:rsidR="00CF07AA">
        <w:rPr>
          <w:rFonts w:ascii="Times New Roman" w:hAnsi="Times New Roman" w:cs="Times New Roman"/>
          <w:sz w:val="24"/>
          <w:szCs w:val="24"/>
        </w:rPr>
        <w:t>after eight days. A</w:t>
      </w:r>
      <w:r w:rsidR="007657BE">
        <w:rPr>
          <w:rFonts w:ascii="Times New Roman" w:hAnsi="Times New Roman" w:cs="Times New Roman"/>
          <w:sz w:val="24"/>
          <w:szCs w:val="24"/>
        </w:rPr>
        <w:t xml:space="preserve">fter fifteen days, the </w:t>
      </w:r>
      <w:r w:rsidR="00625D2B">
        <w:rPr>
          <w:rFonts w:ascii="Times New Roman" w:hAnsi="Times New Roman" w:cs="Times New Roman"/>
          <w:sz w:val="24"/>
          <w:szCs w:val="24"/>
        </w:rPr>
        <w:t>forecast</w:t>
      </w:r>
      <w:r w:rsidR="007657BE">
        <w:rPr>
          <w:rFonts w:ascii="Times New Roman" w:hAnsi="Times New Roman" w:cs="Times New Roman"/>
          <w:sz w:val="24"/>
          <w:szCs w:val="24"/>
        </w:rPr>
        <w:t xml:space="preserve"> accuracy fr</w:t>
      </w:r>
      <w:r w:rsidR="00625D2B">
        <w:rPr>
          <w:rFonts w:ascii="Times New Roman" w:hAnsi="Times New Roman" w:cs="Times New Roman"/>
          <w:sz w:val="24"/>
          <w:szCs w:val="24"/>
        </w:rPr>
        <w:t>om</w:t>
      </w:r>
      <w:r w:rsidR="007657BE">
        <w:rPr>
          <w:rFonts w:ascii="Times New Roman" w:hAnsi="Times New Roman" w:cs="Times New Roman"/>
          <w:sz w:val="24"/>
          <w:szCs w:val="24"/>
        </w:rPr>
        <w:t xml:space="preserve"> these models is greater than </w:t>
      </w:r>
      <w:r w:rsidR="00D3744F">
        <w:rPr>
          <w:rFonts w:ascii="Times New Roman" w:hAnsi="Times New Roman" w:cs="Times New Roman"/>
          <w:sz w:val="24"/>
          <w:szCs w:val="24"/>
        </w:rPr>
        <w:t>85</w:t>
      </w:r>
      <w:r w:rsidR="00DB42CC" w:rsidRPr="00136C18">
        <w:rPr>
          <w:rFonts w:ascii="Times New Roman" w:hAnsi="Times New Roman" w:cs="Times New Roman"/>
          <w:sz w:val="24"/>
          <w:szCs w:val="24"/>
        </w:rPr>
        <w:t>%</w:t>
      </w:r>
      <w:r w:rsidR="00CF07AA">
        <w:rPr>
          <w:rFonts w:ascii="Times New Roman" w:hAnsi="Times New Roman" w:cs="Times New Roman"/>
          <w:sz w:val="24"/>
          <w:szCs w:val="24"/>
        </w:rPr>
        <w:t xml:space="preserve">. </w:t>
      </w:r>
      <w:r w:rsidR="00D3744F">
        <w:rPr>
          <w:rFonts w:ascii="Times New Roman" w:hAnsi="Times New Roman" w:cs="Times New Roman"/>
          <w:sz w:val="24"/>
          <w:szCs w:val="24"/>
        </w:rPr>
        <w:t xml:space="preserve"> </w:t>
      </w:r>
      <w:r w:rsidR="00CF07AA">
        <w:rPr>
          <w:rFonts w:ascii="Times New Roman" w:hAnsi="Times New Roman" w:cs="Times New Roman"/>
          <w:sz w:val="24"/>
          <w:szCs w:val="24"/>
        </w:rPr>
        <w:t>I</w:t>
      </w:r>
      <w:r w:rsidR="00D3744F">
        <w:rPr>
          <w:rFonts w:ascii="Times New Roman" w:hAnsi="Times New Roman" w:cs="Times New Roman"/>
          <w:sz w:val="24"/>
          <w:szCs w:val="24"/>
        </w:rPr>
        <w:t>n some cases</w:t>
      </w:r>
      <w:r w:rsidR="00CF07AA">
        <w:rPr>
          <w:rFonts w:ascii="Times New Roman" w:hAnsi="Times New Roman" w:cs="Times New Roman"/>
          <w:sz w:val="24"/>
          <w:szCs w:val="24"/>
        </w:rPr>
        <w:t>, prediction accuracy is 90% or even slightly higher</w:t>
      </w:r>
      <w:r w:rsidR="007657BE" w:rsidRPr="00136C18">
        <w:rPr>
          <w:rFonts w:ascii="Times New Roman" w:hAnsi="Times New Roman" w:cs="Times New Roman"/>
          <w:sz w:val="24"/>
          <w:szCs w:val="24"/>
        </w:rPr>
        <w:t xml:space="preserve">. </w:t>
      </w:r>
      <w:r w:rsidR="00E04061" w:rsidRPr="00136C18">
        <w:rPr>
          <w:rStyle w:val="Hyperlink"/>
          <w:rFonts w:ascii="Times New Roman" w:hAnsi="Times New Roman" w:cs="Times New Roman"/>
          <w:color w:val="auto"/>
          <w:sz w:val="24"/>
          <w:szCs w:val="24"/>
          <w:u w:val="none"/>
        </w:rPr>
        <w:t xml:space="preserve">SVMs </w:t>
      </w:r>
      <w:r w:rsidR="00EF3D0A">
        <w:rPr>
          <w:rStyle w:val="Hyperlink"/>
          <w:rFonts w:ascii="Times New Roman" w:hAnsi="Times New Roman" w:cs="Times New Roman"/>
          <w:color w:val="auto"/>
          <w:sz w:val="24"/>
          <w:szCs w:val="24"/>
          <w:u w:val="none"/>
        </w:rPr>
        <w:t xml:space="preserve">have high prediction accuracy but not as high as the predictions achieved using </w:t>
      </w:r>
      <w:r w:rsidR="00D3744F">
        <w:rPr>
          <w:rStyle w:val="Hyperlink"/>
          <w:rFonts w:ascii="Times New Roman" w:hAnsi="Times New Roman" w:cs="Times New Roman"/>
          <w:color w:val="auto"/>
          <w:sz w:val="24"/>
          <w:szCs w:val="24"/>
          <w:u w:val="none"/>
        </w:rPr>
        <w:t xml:space="preserve">random forests, </w:t>
      </w:r>
      <w:r w:rsidR="004121B1">
        <w:rPr>
          <w:rStyle w:val="Hyperlink"/>
          <w:rFonts w:ascii="Times New Roman" w:hAnsi="Times New Roman" w:cs="Times New Roman"/>
          <w:color w:val="auto"/>
          <w:sz w:val="24"/>
          <w:szCs w:val="24"/>
          <w:u w:val="none"/>
        </w:rPr>
        <w:t>GBM</w:t>
      </w:r>
      <w:r w:rsidR="00D3744F">
        <w:rPr>
          <w:rStyle w:val="Hyperlink"/>
          <w:rFonts w:ascii="Times New Roman" w:hAnsi="Times New Roman" w:cs="Times New Roman"/>
          <w:color w:val="auto"/>
          <w:sz w:val="24"/>
          <w:szCs w:val="24"/>
          <w:u w:val="none"/>
        </w:rPr>
        <w:t>, and extremely randomized trees</w:t>
      </w:r>
      <w:r w:rsidR="00E04061" w:rsidRPr="00136C18">
        <w:rPr>
          <w:rStyle w:val="Hyperlink"/>
          <w:rFonts w:ascii="Times New Roman" w:hAnsi="Times New Roman" w:cs="Times New Roman"/>
          <w:color w:val="auto"/>
          <w:sz w:val="24"/>
          <w:szCs w:val="24"/>
          <w:u w:val="none"/>
        </w:rPr>
        <w:t>.</w:t>
      </w:r>
      <w:r w:rsidR="00E04061" w:rsidRPr="00136C18">
        <w:rPr>
          <w:rFonts w:ascii="Times New Roman" w:hAnsi="Times New Roman" w:cs="Times New Roman"/>
          <w:sz w:val="24"/>
          <w:szCs w:val="24"/>
          <w:lang w:bidi="en-US"/>
        </w:rPr>
        <w:t xml:space="preserve"> </w:t>
      </w:r>
      <w:r w:rsidR="00625D2B">
        <w:rPr>
          <w:rFonts w:ascii="Times New Roman" w:hAnsi="Times New Roman" w:cs="Times New Roman"/>
          <w:sz w:val="24"/>
          <w:szCs w:val="24"/>
        </w:rPr>
        <w:t>Extra</w:t>
      </w:r>
      <w:r w:rsidR="00CF07AA">
        <w:rPr>
          <w:rFonts w:ascii="Times New Roman" w:hAnsi="Times New Roman" w:cs="Times New Roman"/>
          <w:sz w:val="24"/>
          <w:szCs w:val="24"/>
        </w:rPr>
        <w:t xml:space="preserve"> </w:t>
      </w:r>
      <w:r w:rsidR="00625D2B">
        <w:rPr>
          <w:rFonts w:ascii="Times New Roman" w:hAnsi="Times New Roman" w:cs="Times New Roman"/>
          <w:sz w:val="24"/>
          <w:szCs w:val="24"/>
        </w:rPr>
        <w:t>T</w:t>
      </w:r>
      <w:r w:rsidR="00CF07AA">
        <w:rPr>
          <w:rFonts w:ascii="Times New Roman" w:hAnsi="Times New Roman" w:cs="Times New Roman"/>
          <w:sz w:val="24"/>
          <w:szCs w:val="24"/>
        </w:rPr>
        <w:t>rees have the highest prediction accuracy</w:t>
      </w:r>
      <w:r w:rsidR="00891632">
        <w:rPr>
          <w:rFonts w:ascii="Times New Roman" w:hAnsi="Times New Roman" w:cs="Times New Roman"/>
          <w:sz w:val="24"/>
          <w:szCs w:val="24"/>
        </w:rPr>
        <w:t xml:space="preserve"> for most forecast horizons</w:t>
      </w:r>
      <w:r w:rsidR="007657BE">
        <w:rPr>
          <w:rFonts w:ascii="Times New Roman" w:hAnsi="Times New Roman" w:cs="Times New Roman"/>
          <w:sz w:val="24"/>
          <w:szCs w:val="24"/>
        </w:rPr>
        <w:t xml:space="preserve">. </w:t>
      </w:r>
      <w:r w:rsidR="00625D2B">
        <w:rPr>
          <w:rFonts w:ascii="Times New Roman" w:hAnsi="Times New Roman" w:cs="Times New Roman"/>
          <w:sz w:val="24"/>
          <w:szCs w:val="24"/>
        </w:rPr>
        <w:t>T</w:t>
      </w:r>
      <w:r w:rsidR="00097C39">
        <w:rPr>
          <w:rFonts w:ascii="Times New Roman" w:hAnsi="Times New Roman" w:cs="Times New Roman"/>
          <w:sz w:val="24"/>
          <w:szCs w:val="24"/>
        </w:rPr>
        <w:t xml:space="preserve">he </w:t>
      </w:r>
      <w:r w:rsidR="005D4FA0">
        <w:rPr>
          <w:rFonts w:ascii="Times New Roman" w:hAnsi="Times New Roman" w:cs="Times New Roman"/>
          <w:sz w:val="24"/>
          <w:szCs w:val="24"/>
        </w:rPr>
        <w:t>Lasso</w:t>
      </w:r>
      <w:r w:rsidR="00891632">
        <w:rPr>
          <w:rFonts w:ascii="Times New Roman" w:hAnsi="Times New Roman" w:cs="Times New Roman"/>
          <w:sz w:val="24"/>
          <w:szCs w:val="24"/>
        </w:rPr>
        <w:t xml:space="preserve"> </w:t>
      </w:r>
      <w:r w:rsidR="00097C39">
        <w:rPr>
          <w:rFonts w:ascii="Times New Roman" w:hAnsi="Times New Roman" w:cs="Times New Roman"/>
          <w:sz w:val="24"/>
          <w:szCs w:val="24"/>
        </w:rPr>
        <w:t>prediction accuracy is never higher than 65</w:t>
      </w:r>
      <w:r w:rsidR="00DB42CC">
        <w:rPr>
          <w:rFonts w:ascii="Times New Roman" w:hAnsi="Times New Roman" w:cs="Times New Roman"/>
          <w:sz w:val="24"/>
          <w:szCs w:val="24"/>
        </w:rPr>
        <w:t>%</w:t>
      </w:r>
      <w:r w:rsidR="00891632">
        <w:rPr>
          <w:rFonts w:ascii="Times New Roman" w:hAnsi="Times New Roman" w:cs="Times New Roman"/>
          <w:sz w:val="24"/>
          <w:szCs w:val="24"/>
        </w:rPr>
        <w:t>. T</w:t>
      </w:r>
      <w:r w:rsidR="00D3744F">
        <w:rPr>
          <w:rFonts w:ascii="Times New Roman" w:hAnsi="Times New Roman" w:cs="Times New Roman"/>
          <w:sz w:val="24"/>
          <w:szCs w:val="24"/>
        </w:rPr>
        <w:t xml:space="preserve">he prediction accuracy of Naïve Bayes is </w:t>
      </w:r>
      <w:r w:rsidR="00891632">
        <w:rPr>
          <w:rFonts w:ascii="Times New Roman" w:hAnsi="Times New Roman" w:cs="Times New Roman"/>
          <w:sz w:val="24"/>
          <w:szCs w:val="24"/>
        </w:rPr>
        <w:t xml:space="preserve">mostly </w:t>
      </w:r>
      <w:r w:rsidR="00D3744F">
        <w:rPr>
          <w:rFonts w:ascii="Times New Roman" w:hAnsi="Times New Roman" w:cs="Times New Roman"/>
          <w:sz w:val="24"/>
          <w:szCs w:val="24"/>
        </w:rPr>
        <w:t xml:space="preserve">less than that of </w:t>
      </w:r>
      <w:r w:rsidR="005D4FA0">
        <w:rPr>
          <w:rFonts w:ascii="Times New Roman" w:hAnsi="Times New Roman" w:cs="Times New Roman"/>
          <w:sz w:val="24"/>
          <w:szCs w:val="24"/>
        </w:rPr>
        <w:t>Lasso</w:t>
      </w:r>
      <w:r w:rsidR="00D3744F">
        <w:rPr>
          <w:rFonts w:ascii="Times New Roman" w:hAnsi="Times New Roman" w:cs="Times New Roman"/>
          <w:sz w:val="24"/>
          <w:szCs w:val="24"/>
        </w:rPr>
        <w:t xml:space="preserve">. </w:t>
      </w:r>
      <w:r w:rsidR="0052690E">
        <w:rPr>
          <w:rFonts w:ascii="Times New Roman" w:hAnsi="Times New Roman" w:cs="Times New Roman"/>
          <w:sz w:val="24"/>
          <w:szCs w:val="24"/>
        </w:rPr>
        <w:t xml:space="preserve"> </w:t>
      </w:r>
      <w:r w:rsidR="00097C39">
        <w:rPr>
          <w:rFonts w:ascii="Times New Roman" w:hAnsi="Times New Roman" w:cs="Times New Roman"/>
          <w:sz w:val="24"/>
          <w:szCs w:val="24"/>
        </w:rPr>
        <w:t xml:space="preserve">The results </w:t>
      </w:r>
      <w:r w:rsidR="00891632">
        <w:rPr>
          <w:rFonts w:ascii="Times New Roman" w:hAnsi="Times New Roman" w:cs="Times New Roman"/>
          <w:sz w:val="24"/>
          <w:szCs w:val="24"/>
        </w:rPr>
        <w:t xml:space="preserve">from this research </w:t>
      </w:r>
      <w:r w:rsidR="00097C39">
        <w:rPr>
          <w:rFonts w:ascii="Times New Roman" w:hAnsi="Times New Roman" w:cs="Times New Roman"/>
          <w:sz w:val="24"/>
          <w:szCs w:val="24"/>
        </w:rPr>
        <w:t xml:space="preserve">add </w:t>
      </w:r>
      <w:r w:rsidR="00896D74">
        <w:rPr>
          <w:rFonts w:ascii="Times New Roman" w:hAnsi="Times New Roman" w:cs="Times New Roman"/>
          <w:sz w:val="24"/>
          <w:szCs w:val="24"/>
        </w:rPr>
        <w:t xml:space="preserve">support </w:t>
      </w:r>
      <w:r w:rsidR="00097C39">
        <w:rPr>
          <w:rFonts w:ascii="Times New Roman" w:hAnsi="Times New Roman" w:cs="Times New Roman"/>
          <w:sz w:val="24"/>
          <w:szCs w:val="24"/>
        </w:rPr>
        <w:t xml:space="preserve">to the literature </w:t>
      </w:r>
      <w:r w:rsidR="00EF3D0A">
        <w:rPr>
          <w:rFonts w:ascii="Times New Roman" w:hAnsi="Times New Roman" w:cs="Times New Roman"/>
          <w:sz w:val="24"/>
          <w:szCs w:val="24"/>
        </w:rPr>
        <w:t>demonstrat</w:t>
      </w:r>
      <w:r w:rsidR="00097C39">
        <w:rPr>
          <w:rFonts w:ascii="Times New Roman" w:hAnsi="Times New Roman" w:cs="Times New Roman"/>
          <w:sz w:val="24"/>
          <w:szCs w:val="24"/>
        </w:rPr>
        <w:t xml:space="preserve">ing the </w:t>
      </w:r>
      <w:r w:rsidR="00625D2B">
        <w:rPr>
          <w:rFonts w:ascii="Times New Roman" w:hAnsi="Times New Roman" w:cs="Times New Roman"/>
          <w:sz w:val="24"/>
          <w:szCs w:val="24"/>
        </w:rPr>
        <w:t>accuracy</w:t>
      </w:r>
      <w:r w:rsidR="00097C39">
        <w:rPr>
          <w:rFonts w:ascii="Times New Roman" w:hAnsi="Times New Roman" w:cs="Times New Roman"/>
          <w:sz w:val="24"/>
          <w:szCs w:val="24"/>
        </w:rPr>
        <w:t xml:space="preserve"> of predicting </w:t>
      </w:r>
      <w:r w:rsidR="00625D2B">
        <w:rPr>
          <w:rFonts w:ascii="Times New Roman" w:hAnsi="Times New Roman" w:cs="Times New Roman"/>
          <w:sz w:val="24"/>
          <w:szCs w:val="24"/>
        </w:rPr>
        <w:t xml:space="preserve">the direction of </w:t>
      </w:r>
      <w:r w:rsidR="00097C39">
        <w:rPr>
          <w:rFonts w:ascii="Times New Roman" w:hAnsi="Times New Roman" w:cs="Times New Roman"/>
          <w:sz w:val="24"/>
          <w:szCs w:val="24"/>
        </w:rPr>
        <w:t>stock price</w:t>
      </w:r>
      <w:r w:rsidR="00625D2B">
        <w:rPr>
          <w:rFonts w:ascii="Times New Roman" w:hAnsi="Times New Roman" w:cs="Times New Roman"/>
          <w:sz w:val="24"/>
          <w:szCs w:val="24"/>
        </w:rPr>
        <w:t xml:space="preserve">s </w:t>
      </w:r>
      <w:r w:rsidR="00097C39">
        <w:rPr>
          <w:rFonts w:ascii="Times New Roman" w:hAnsi="Times New Roman" w:cs="Times New Roman"/>
          <w:sz w:val="24"/>
          <w:szCs w:val="24"/>
        </w:rPr>
        <w:t xml:space="preserve">with machine learning methods. </w:t>
      </w:r>
    </w:p>
    <w:p w14:paraId="1063C112" w14:textId="2AAC5074" w:rsidR="0093397E" w:rsidRDefault="00D3744F" w:rsidP="009733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answering the question </w:t>
      </w:r>
      <w:r w:rsidR="007074BD">
        <w:rPr>
          <w:rFonts w:ascii="Times New Roman" w:hAnsi="Times New Roman" w:cs="Times New Roman"/>
          <w:sz w:val="24"/>
          <w:szCs w:val="24"/>
        </w:rPr>
        <w:t xml:space="preserve">of </w:t>
      </w:r>
      <w:r>
        <w:rPr>
          <w:rFonts w:ascii="Times New Roman" w:hAnsi="Times New Roman" w:cs="Times New Roman"/>
          <w:sz w:val="24"/>
          <w:szCs w:val="24"/>
        </w:rPr>
        <w:t xml:space="preserve">how important volatility and uncertainty are for predicting clean energy stock prices, the analysis </w:t>
      </w:r>
      <w:r w:rsidR="00EF3D0A">
        <w:rPr>
          <w:rFonts w:ascii="Times New Roman" w:hAnsi="Times New Roman" w:cs="Times New Roman"/>
          <w:sz w:val="24"/>
          <w:szCs w:val="24"/>
        </w:rPr>
        <w:t>reveal</w:t>
      </w:r>
      <w:r>
        <w:rPr>
          <w:rFonts w:ascii="Times New Roman" w:hAnsi="Times New Roman" w:cs="Times New Roman"/>
          <w:sz w:val="24"/>
          <w:szCs w:val="24"/>
        </w:rPr>
        <w:t xml:space="preserve">s that </w:t>
      </w:r>
      <w:r w:rsidR="00097C39">
        <w:rPr>
          <w:rFonts w:ascii="Times New Roman" w:hAnsi="Times New Roman" w:cs="Times New Roman"/>
          <w:sz w:val="24"/>
          <w:szCs w:val="24"/>
        </w:rPr>
        <w:t>the most important features for predicti</w:t>
      </w:r>
      <w:r w:rsidR="009D050C">
        <w:rPr>
          <w:rFonts w:ascii="Times New Roman" w:hAnsi="Times New Roman" w:cs="Times New Roman"/>
          <w:sz w:val="24"/>
          <w:szCs w:val="24"/>
        </w:rPr>
        <w:t xml:space="preserve">ng </w:t>
      </w:r>
      <w:r w:rsidR="00625D2B">
        <w:rPr>
          <w:rFonts w:ascii="Times New Roman" w:hAnsi="Times New Roman" w:cs="Times New Roman"/>
          <w:sz w:val="24"/>
          <w:szCs w:val="24"/>
        </w:rPr>
        <w:t xml:space="preserve">the direction of </w:t>
      </w:r>
      <w:r>
        <w:rPr>
          <w:rFonts w:ascii="Times New Roman" w:hAnsi="Times New Roman" w:cs="Times New Roman"/>
          <w:sz w:val="24"/>
          <w:szCs w:val="24"/>
        </w:rPr>
        <w:t>clean energy</w:t>
      </w:r>
      <w:r w:rsidR="009D050C">
        <w:rPr>
          <w:rFonts w:ascii="Times New Roman" w:hAnsi="Times New Roman" w:cs="Times New Roman"/>
          <w:sz w:val="24"/>
          <w:szCs w:val="24"/>
        </w:rPr>
        <w:t xml:space="preserve"> </w:t>
      </w:r>
      <w:r w:rsidR="006E5471">
        <w:rPr>
          <w:rFonts w:ascii="Times New Roman" w:hAnsi="Times New Roman" w:cs="Times New Roman"/>
          <w:sz w:val="24"/>
          <w:szCs w:val="24"/>
        </w:rPr>
        <w:t xml:space="preserve">stock </w:t>
      </w:r>
      <w:r w:rsidR="009D050C">
        <w:rPr>
          <w:rFonts w:ascii="Times New Roman" w:hAnsi="Times New Roman" w:cs="Times New Roman"/>
          <w:sz w:val="24"/>
          <w:szCs w:val="24"/>
        </w:rPr>
        <w:t>price</w:t>
      </w:r>
      <w:r w:rsidR="00625D2B">
        <w:rPr>
          <w:rFonts w:ascii="Times New Roman" w:hAnsi="Times New Roman" w:cs="Times New Roman"/>
          <w:sz w:val="24"/>
          <w:szCs w:val="24"/>
        </w:rPr>
        <w:t>s</w:t>
      </w:r>
      <w:r w:rsidR="00097C39">
        <w:rPr>
          <w:rFonts w:ascii="Times New Roman" w:hAnsi="Times New Roman" w:cs="Times New Roman"/>
          <w:sz w:val="24"/>
          <w:szCs w:val="24"/>
        </w:rPr>
        <w:t xml:space="preserve"> </w:t>
      </w:r>
      <w:r>
        <w:rPr>
          <w:rFonts w:ascii="Times New Roman" w:hAnsi="Times New Roman" w:cs="Times New Roman"/>
          <w:sz w:val="24"/>
          <w:szCs w:val="24"/>
        </w:rPr>
        <w:t>are</w:t>
      </w:r>
      <w:r w:rsidR="00097C39">
        <w:rPr>
          <w:rFonts w:ascii="Times New Roman" w:hAnsi="Times New Roman" w:cs="Times New Roman"/>
          <w:sz w:val="24"/>
          <w:szCs w:val="24"/>
        </w:rPr>
        <w:t xml:space="preserve"> </w:t>
      </w:r>
      <w:r w:rsidR="00CF07AA">
        <w:rPr>
          <w:rFonts w:ascii="Times New Roman" w:hAnsi="Times New Roman" w:cs="Times New Roman"/>
          <w:sz w:val="24"/>
          <w:szCs w:val="24"/>
        </w:rPr>
        <w:t xml:space="preserve">the </w:t>
      </w:r>
      <w:r w:rsidR="00097C39">
        <w:rPr>
          <w:rFonts w:ascii="Times New Roman" w:hAnsi="Times New Roman" w:cs="Times New Roman"/>
          <w:sz w:val="24"/>
          <w:szCs w:val="24"/>
        </w:rPr>
        <w:t xml:space="preserve">technical indicators </w:t>
      </w:r>
      <w:r w:rsidR="00630841">
        <w:rPr>
          <w:rFonts w:ascii="Times New Roman" w:hAnsi="Times New Roman" w:cs="Times New Roman"/>
          <w:sz w:val="24"/>
          <w:szCs w:val="24"/>
        </w:rPr>
        <w:t xml:space="preserve">WAD, </w:t>
      </w:r>
      <w:r w:rsidR="00097C39">
        <w:rPr>
          <w:rFonts w:ascii="Times New Roman" w:hAnsi="Times New Roman" w:cs="Times New Roman"/>
          <w:sz w:val="24"/>
          <w:szCs w:val="24"/>
        </w:rPr>
        <w:t>MA</w:t>
      </w:r>
      <w:r w:rsidR="00BA5206">
        <w:rPr>
          <w:rFonts w:ascii="Times New Roman" w:hAnsi="Times New Roman" w:cs="Times New Roman"/>
          <w:sz w:val="24"/>
          <w:szCs w:val="24"/>
        </w:rPr>
        <w:t>5</w:t>
      </w:r>
      <w:r w:rsidR="00097C39">
        <w:rPr>
          <w:rFonts w:ascii="Times New Roman" w:hAnsi="Times New Roman" w:cs="Times New Roman"/>
          <w:sz w:val="24"/>
          <w:szCs w:val="24"/>
        </w:rPr>
        <w:t>0</w:t>
      </w:r>
      <w:r w:rsidR="00A10B4E">
        <w:rPr>
          <w:rFonts w:ascii="Times New Roman" w:hAnsi="Times New Roman" w:cs="Times New Roman"/>
          <w:sz w:val="24"/>
          <w:szCs w:val="24"/>
        </w:rPr>
        <w:t>,</w:t>
      </w:r>
      <w:r w:rsidR="00097C39">
        <w:rPr>
          <w:rFonts w:ascii="Times New Roman" w:hAnsi="Times New Roman" w:cs="Times New Roman"/>
          <w:sz w:val="24"/>
          <w:szCs w:val="24"/>
        </w:rPr>
        <w:t xml:space="preserve"> </w:t>
      </w:r>
      <w:r w:rsidR="00D12646">
        <w:rPr>
          <w:rFonts w:ascii="Times New Roman" w:hAnsi="Times New Roman" w:cs="Times New Roman"/>
          <w:sz w:val="24"/>
          <w:szCs w:val="24"/>
        </w:rPr>
        <w:t xml:space="preserve">and </w:t>
      </w:r>
      <w:r w:rsidR="00630841">
        <w:rPr>
          <w:rFonts w:ascii="Times New Roman" w:hAnsi="Times New Roman" w:cs="Times New Roman"/>
          <w:sz w:val="24"/>
          <w:szCs w:val="24"/>
        </w:rPr>
        <w:t>MA200</w:t>
      </w:r>
      <w:r w:rsidR="00EC2799">
        <w:rPr>
          <w:rFonts w:ascii="Times New Roman" w:hAnsi="Times New Roman" w:cs="Times New Roman"/>
          <w:sz w:val="24"/>
          <w:szCs w:val="24"/>
        </w:rPr>
        <w:t xml:space="preserve">. </w:t>
      </w:r>
      <w:r w:rsidR="00F93FA4">
        <w:rPr>
          <w:rFonts w:ascii="Times New Roman" w:hAnsi="Times New Roman" w:cs="Times New Roman"/>
          <w:sz w:val="24"/>
          <w:szCs w:val="24"/>
        </w:rPr>
        <w:t xml:space="preserve">These results </w:t>
      </w:r>
      <w:r w:rsidR="00896D74">
        <w:rPr>
          <w:rFonts w:ascii="Times New Roman" w:hAnsi="Times New Roman" w:cs="Times New Roman"/>
          <w:sz w:val="24"/>
          <w:szCs w:val="24"/>
        </w:rPr>
        <w:t xml:space="preserve">are </w:t>
      </w:r>
      <w:r w:rsidR="00C12A4F">
        <w:rPr>
          <w:rFonts w:ascii="Times New Roman" w:hAnsi="Times New Roman" w:cs="Times New Roman"/>
          <w:sz w:val="24"/>
          <w:szCs w:val="24"/>
        </w:rPr>
        <w:t>consistent with</w:t>
      </w:r>
      <w:r w:rsidR="00F93FA4">
        <w:rPr>
          <w:rFonts w:ascii="Times New Roman" w:hAnsi="Times New Roman" w:cs="Times New Roman"/>
          <w:sz w:val="24"/>
          <w:szCs w:val="24"/>
        </w:rPr>
        <w:t xml:space="preserve"> the literature </w:t>
      </w:r>
      <w:r w:rsidR="00896D74">
        <w:rPr>
          <w:rFonts w:ascii="Times New Roman" w:hAnsi="Times New Roman" w:cs="Times New Roman"/>
          <w:sz w:val="24"/>
          <w:szCs w:val="24"/>
        </w:rPr>
        <w:t xml:space="preserve">that </w:t>
      </w:r>
      <w:r w:rsidR="00EF3D0A">
        <w:rPr>
          <w:rFonts w:ascii="Times New Roman" w:hAnsi="Times New Roman" w:cs="Times New Roman"/>
          <w:sz w:val="24"/>
          <w:szCs w:val="24"/>
        </w:rPr>
        <w:t>establish</w:t>
      </w:r>
      <w:r w:rsidR="00896D74">
        <w:rPr>
          <w:rFonts w:ascii="Times New Roman" w:hAnsi="Times New Roman" w:cs="Times New Roman"/>
          <w:sz w:val="24"/>
          <w:szCs w:val="24"/>
        </w:rPr>
        <w:t>es</w:t>
      </w:r>
      <w:r w:rsidR="00F93FA4">
        <w:rPr>
          <w:rFonts w:ascii="Times New Roman" w:hAnsi="Times New Roman" w:cs="Times New Roman"/>
          <w:sz w:val="24"/>
          <w:szCs w:val="24"/>
        </w:rPr>
        <w:t xml:space="preserve"> technical indicators a</w:t>
      </w:r>
      <w:r w:rsidR="00896D74">
        <w:rPr>
          <w:rFonts w:ascii="Times New Roman" w:hAnsi="Times New Roman" w:cs="Times New Roman"/>
          <w:sz w:val="24"/>
          <w:szCs w:val="24"/>
        </w:rPr>
        <w:t>s</w:t>
      </w:r>
      <w:r w:rsidR="00F93FA4">
        <w:rPr>
          <w:rFonts w:ascii="Times New Roman" w:hAnsi="Times New Roman" w:cs="Times New Roman"/>
          <w:sz w:val="24"/>
          <w:szCs w:val="24"/>
        </w:rPr>
        <w:t xml:space="preserve"> important features for predicting stock prices. </w:t>
      </w:r>
      <w:r w:rsidR="003467AF">
        <w:rPr>
          <w:rFonts w:ascii="Times New Roman" w:hAnsi="Times New Roman" w:cs="Times New Roman"/>
          <w:sz w:val="24"/>
          <w:szCs w:val="24"/>
        </w:rPr>
        <w:t>In most cases, t</w:t>
      </w:r>
      <w:r w:rsidR="00EC2799">
        <w:rPr>
          <w:rFonts w:ascii="Times New Roman" w:hAnsi="Times New Roman" w:cs="Times New Roman"/>
          <w:sz w:val="24"/>
          <w:szCs w:val="24"/>
        </w:rPr>
        <w:t>he most important non-technical feature</w:t>
      </w:r>
      <w:r w:rsidR="00630841">
        <w:rPr>
          <w:rFonts w:ascii="Times New Roman" w:hAnsi="Times New Roman" w:cs="Times New Roman"/>
          <w:sz w:val="24"/>
          <w:szCs w:val="24"/>
        </w:rPr>
        <w:t xml:space="preserve">s </w:t>
      </w:r>
      <w:r w:rsidR="003467AF">
        <w:rPr>
          <w:rFonts w:ascii="Times New Roman" w:hAnsi="Times New Roman" w:cs="Times New Roman"/>
          <w:sz w:val="24"/>
          <w:szCs w:val="24"/>
        </w:rPr>
        <w:t xml:space="preserve">for the 15 to 20 day forecast period </w:t>
      </w:r>
      <w:r w:rsidR="00630841">
        <w:rPr>
          <w:rFonts w:ascii="Times New Roman" w:hAnsi="Times New Roman" w:cs="Times New Roman"/>
          <w:sz w:val="24"/>
          <w:szCs w:val="24"/>
        </w:rPr>
        <w:t xml:space="preserve">are VIX and OVX. </w:t>
      </w:r>
      <w:r w:rsidR="008A6D51">
        <w:rPr>
          <w:rFonts w:ascii="Times New Roman" w:hAnsi="Times New Roman" w:cs="Times New Roman"/>
          <w:sz w:val="24"/>
          <w:szCs w:val="24"/>
        </w:rPr>
        <w:t>Unlike in the case of PBW or ICLN, e</w:t>
      </w:r>
      <w:r w:rsidR="00F93FA4">
        <w:rPr>
          <w:rFonts w:ascii="Times New Roman" w:hAnsi="Times New Roman" w:cs="Times New Roman"/>
          <w:sz w:val="24"/>
          <w:szCs w:val="24"/>
        </w:rPr>
        <w:t xml:space="preserve">conomic </w:t>
      </w:r>
      <w:r w:rsidR="00630841">
        <w:rPr>
          <w:rFonts w:ascii="Times New Roman" w:hAnsi="Times New Roman" w:cs="Times New Roman"/>
          <w:sz w:val="24"/>
          <w:szCs w:val="24"/>
        </w:rPr>
        <w:t>policy</w:t>
      </w:r>
      <w:r w:rsidR="00F93FA4">
        <w:rPr>
          <w:rFonts w:ascii="Times New Roman" w:hAnsi="Times New Roman" w:cs="Times New Roman"/>
          <w:sz w:val="24"/>
          <w:szCs w:val="24"/>
        </w:rPr>
        <w:t xml:space="preserve"> uncertainty </w:t>
      </w:r>
      <w:r w:rsidR="00630841">
        <w:rPr>
          <w:rFonts w:ascii="Times New Roman" w:hAnsi="Times New Roman" w:cs="Times New Roman"/>
          <w:sz w:val="24"/>
          <w:szCs w:val="24"/>
        </w:rPr>
        <w:t xml:space="preserve">is important for predicting 20-day QCLN. </w:t>
      </w:r>
      <w:r w:rsidR="003848E4">
        <w:rPr>
          <w:rFonts w:ascii="Times New Roman" w:hAnsi="Times New Roman" w:cs="Times New Roman"/>
          <w:sz w:val="24"/>
          <w:szCs w:val="24"/>
        </w:rPr>
        <w:t xml:space="preserve">In other cases, economic policy uncertainty and market uncertainty variables are not that important. </w:t>
      </w:r>
      <w:r w:rsidR="00630841">
        <w:rPr>
          <w:rFonts w:ascii="Times New Roman" w:hAnsi="Times New Roman" w:cs="Times New Roman"/>
          <w:sz w:val="24"/>
          <w:szCs w:val="24"/>
        </w:rPr>
        <w:t>E</w:t>
      </w:r>
      <w:r w:rsidR="00F93FA4">
        <w:rPr>
          <w:rFonts w:ascii="Times New Roman" w:hAnsi="Times New Roman" w:cs="Times New Roman"/>
          <w:sz w:val="24"/>
          <w:szCs w:val="24"/>
        </w:rPr>
        <w:t xml:space="preserve">conomic </w:t>
      </w:r>
      <w:r w:rsidR="00630841">
        <w:rPr>
          <w:rFonts w:ascii="Times New Roman" w:hAnsi="Times New Roman" w:cs="Times New Roman"/>
          <w:sz w:val="24"/>
          <w:szCs w:val="24"/>
        </w:rPr>
        <w:t>market</w:t>
      </w:r>
      <w:r w:rsidR="00F93FA4">
        <w:rPr>
          <w:rFonts w:ascii="Times New Roman" w:hAnsi="Times New Roman" w:cs="Times New Roman"/>
          <w:sz w:val="24"/>
          <w:szCs w:val="24"/>
        </w:rPr>
        <w:t xml:space="preserve"> uncertainty </w:t>
      </w:r>
      <w:r w:rsidR="00630841">
        <w:rPr>
          <w:rFonts w:ascii="Times New Roman" w:hAnsi="Times New Roman" w:cs="Times New Roman"/>
          <w:sz w:val="24"/>
          <w:szCs w:val="24"/>
        </w:rPr>
        <w:t>is one of</w:t>
      </w:r>
      <w:r w:rsidR="00F93FA4">
        <w:rPr>
          <w:rFonts w:ascii="Times New Roman" w:hAnsi="Times New Roman" w:cs="Times New Roman"/>
          <w:sz w:val="24"/>
          <w:szCs w:val="24"/>
        </w:rPr>
        <w:t xml:space="preserve"> the least important features</w:t>
      </w:r>
      <w:r w:rsidR="00D12646">
        <w:rPr>
          <w:rFonts w:ascii="Times New Roman" w:hAnsi="Times New Roman" w:cs="Times New Roman"/>
          <w:sz w:val="24"/>
          <w:szCs w:val="24"/>
        </w:rPr>
        <w:t xml:space="preserve">. </w:t>
      </w:r>
      <w:r w:rsidR="002263D7">
        <w:rPr>
          <w:rFonts w:ascii="Times New Roman" w:hAnsi="Times New Roman" w:cs="Times New Roman"/>
          <w:sz w:val="24"/>
          <w:szCs w:val="24"/>
        </w:rPr>
        <w:t xml:space="preserve">Somewhat surprising is that technology stock market volatility is not a very important predictor of clean energy stock prices. This may be due to the dramatic drop in costs of supplying clean energy which lessens the reliance on technological innovation. </w:t>
      </w:r>
    </w:p>
    <w:p w14:paraId="79AB7AD1" w14:textId="03D47DE4" w:rsidR="00D3744F" w:rsidRDefault="00EC2799" w:rsidP="009733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regards to the question as to whether variable importance changes across </w:t>
      </w:r>
      <w:r w:rsidR="0093397E">
        <w:rPr>
          <w:rFonts w:ascii="Times New Roman" w:hAnsi="Times New Roman" w:cs="Times New Roman"/>
          <w:sz w:val="24"/>
          <w:szCs w:val="24"/>
        </w:rPr>
        <w:t xml:space="preserve">the </w:t>
      </w:r>
      <w:r w:rsidR="00630841">
        <w:rPr>
          <w:rFonts w:ascii="Times New Roman" w:hAnsi="Times New Roman" w:cs="Times New Roman"/>
          <w:sz w:val="24"/>
          <w:szCs w:val="24"/>
        </w:rPr>
        <w:t>forecast horizon</w:t>
      </w:r>
      <w:r>
        <w:rPr>
          <w:rFonts w:ascii="Times New Roman" w:hAnsi="Times New Roman" w:cs="Times New Roman"/>
          <w:sz w:val="24"/>
          <w:szCs w:val="24"/>
        </w:rPr>
        <w:t xml:space="preserve">, the answer is </w:t>
      </w:r>
      <w:r w:rsidR="0093397E">
        <w:rPr>
          <w:rFonts w:ascii="Times New Roman" w:hAnsi="Times New Roman" w:cs="Times New Roman"/>
          <w:sz w:val="24"/>
          <w:szCs w:val="24"/>
        </w:rPr>
        <w:t xml:space="preserve">mixed. </w:t>
      </w:r>
      <w:r w:rsidR="003467AF">
        <w:rPr>
          <w:rFonts w:ascii="Times New Roman" w:hAnsi="Times New Roman" w:cs="Times New Roman"/>
          <w:sz w:val="24"/>
          <w:szCs w:val="24"/>
        </w:rPr>
        <w:t>Variable importance tends to vary l</w:t>
      </w:r>
      <w:r w:rsidR="0055612F">
        <w:rPr>
          <w:rFonts w:ascii="Times New Roman" w:hAnsi="Times New Roman" w:cs="Times New Roman"/>
          <w:sz w:val="24"/>
          <w:szCs w:val="24"/>
        </w:rPr>
        <w:t>ittle</w:t>
      </w:r>
      <w:r w:rsidR="003467AF">
        <w:rPr>
          <w:rFonts w:ascii="Times New Roman" w:hAnsi="Times New Roman" w:cs="Times New Roman"/>
          <w:sz w:val="24"/>
          <w:szCs w:val="24"/>
        </w:rPr>
        <w:t xml:space="preserve"> between </w:t>
      </w:r>
      <w:r w:rsidR="0055612F">
        <w:rPr>
          <w:rFonts w:ascii="Times New Roman" w:hAnsi="Times New Roman" w:cs="Times New Roman"/>
          <w:sz w:val="24"/>
          <w:szCs w:val="24"/>
        </w:rPr>
        <w:t xml:space="preserve">the 15 day and 20 day forecast horizons. </w:t>
      </w:r>
      <w:r w:rsidR="00FC1887">
        <w:rPr>
          <w:rFonts w:ascii="Times New Roman" w:hAnsi="Times New Roman" w:cs="Times New Roman"/>
          <w:sz w:val="24"/>
          <w:szCs w:val="24"/>
        </w:rPr>
        <w:t>This is important since the highest prediction accuracy is observed between 1</w:t>
      </w:r>
      <w:r w:rsidR="00C055A3">
        <w:rPr>
          <w:rFonts w:ascii="Times New Roman" w:hAnsi="Times New Roman" w:cs="Times New Roman"/>
          <w:sz w:val="24"/>
          <w:szCs w:val="24"/>
        </w:rPr>
        <w:t>5</w:t>
      </w:r>
      <w:r w:rsidR="00FC1887">
        <w:rPr>
          <w:rFonts w:ascii="Times New Roman" w:hAnsi="Times New Roman" w:cs="Times New Roman"/>
          <w:sz w:val="24"/>
          <w:szCs w:val="24"/>
        </w:rPr>
        <w:t xml:space="preserve"> and 20 day</w:t>
      </w:r>
      <w:r w:rsidR="003E6F27">
        <w:rPr>
          <w:rFonts w:ascii="Times New Roman" w:hAnsi="Times New Roman" w:cs="Times New Roman"/>
          <w:sz w:val="24"/>
          <w:szCs w:val="24"/>
        </w:rPr>
        <w:t>s</w:t>
      </w:r>
      <w:r w:rsidR="00FC1887">
        <w:rPr>
          <w:rFonts w:ascii="Times New Roman" w:hAnsi="Times New Roman" w:cs="Times New Roman"/>
          <w:sz w:val="24"/>
          <w:szCs w:val="24"/>
        </w:rPr>
        <w:t xml:space="preserve">. </w:t>
      </w:r>
      <w:r w:rsidR="0093397E">
        <w:rPr>
          <w:rFonts w:ascii="Times New Roman" w:hAnsi="Times New Roman" w:cs="Times New Roman"/>
          <w:sz w:val="24"/>
          <w:szCs w:val="24"/>
        </w:rPr>
        <w:t xml:space="preserve">Variable importance does change </w:t>
      </w:r>
      <w:r w:rsidR="00FC1887">
        <w:rPr>
          <w:rFonts w:ascii="Times New Roman" w:hAnsi="Times New Roman" w:cs="Times New Roman"/>
          <w:sz w:val="24"/>
          <w:szCs w:val="24"/>
        </w:rPr>
        <w:t xml:space="preserve">between </w:t>
      </w:r>
      <w:r w:rsidR="00C055A3">
        <w:rPr>
          <w:rFonts w:ascii="Times New Roman" w:hAnsi="Times New Roman" w:cs="Times New Roman"/>
          <w:sz w:val="24"/>
          <w:szCs w:val="24"/>
        </w:rPr>
        <w:t>five</w:t>
      </w:r>
      <w:r w:rsidR="00FC1887">
        <w:rPr>
          <w:rFonts w:ascii="Times New Roman" w:hAnsi="Times New Roman" w:cs="Times New Roman"/>
          <w:sz w:val="24"/>
          <w:szCs w:val="24"/>
        </w:rPr>
        <w:t xml:space="preserve"> day</w:t>
      </w:r>
      <w:r w:rsidR="00C055A3">
        <w:rPr>
          <w:rFonts w:ascii="Times New Roman" w:hAnsi="Times New Roman" w:cs="Times New Roman"/>
          <w:sz w:val="24"/>
          <w:szCs w:val="24"/>
        </w:rPr>
        <w:t>s</w:t>
      </w:r>
      <w:r w:rsidR="00FC1887">
        <w:rPr>
          <w:rFonts w:ascii="Times New Roman" w:hAnsi="Times New Roman" w:cs="Times New Roman"/>
          <w:sz w:val="24"/>
          <w:szCs w:val="24"/>
        </w:rPr>
        <w:t xml:space="preserve"> and </w:t>
      </w:r>
      <w:r w:rsidR="00C055A3">
        <w:rPr>
          <w:rFonts w:ascii="Times New Roman" w:hAnsi="Times New Roman" w:cs="Times New Roman"/>
          <w:sz w:val="24"/>
          <w:szCs w:val="24"/>
        </w:rPr>
        <w:t>ten</w:t>
      </w:r>
      <w:r w:rsidR="00FC1887">
        <w:rPr>
          <w:rFonts w:ascii="Times New Roman" w:hAnsi="Times New Roman" w:cs="Times New Roman"/>
          <w:sz w:val="24"/>
          <w:szCs w:val="24"/>
        </w:rPr>
        <w:t xml:space="preserve"> days </w:t>
      </w:r>
      <w:r w:rsidR="0055612F">
        <w:rPr>
          <w:rFonts w:ascii="Times New Roman" w:hAnsi="Times New Roman" w:cs="Times New Roman"/>
          <w:sz w:val="24"/>
          <w:szCs w:val="24"/>
        </w:rPr>
        <w:t xml:space="preserve">and is most </w:t>
      </w:r>
      <w:r w:rsidR="00D9578C">
        <w:rPr>
          <w:rFonts w:ascii="Times New Roman" w:hAnsi="Times New Roman" w:cs="Times New Roman"/>
          <w:sz w:val="24"/>
          <w:szCs w:val="24"/>
        </w:rPr>
        <w:t>noticeable</w:t>
      </w:r>
      <w:r w:rsidR="0055612F">
        <w:rPr>
          <w:rFonts w:ascii="Times New Roman" w:hAnsi="Times New Roman" w:cs="Times New Roman"/>
          <w:sz w:val="24"/>
          <w:szCs w:val="24"/>
        </w:rPr>
        <w:t xml:space="preserve"> when comparing the </w:t>
      </w:r>
      <w:proofErr w:type="gramStart"/>
      <w:r w:rsidR="0055612F">
        <w:rPr>
          <w:rFonts w:ascii="Times New Roman" w:hAnsi="Times New Roman" w:cs="Times New Roman"/>
          <w:sz w:val="24"/>
          <w:szCs w:val="24"/>
        </w:rPr>
        <w:t>5 day</w:t>
      </w:r>
      <w:proofErr w:type="gramEnd"/>
      <w:r w:rsidR="0055612F">
        <w:rPr>
          <w:rFonts w:ascii="Times New Roman" w:hAnsi="Times New Roman" w:cs="Times New Roman"/>
          <w:sz w:val="24"/>
          <w:szCs w:val="24"/>
        </w:rPr>
        <w:t xml:space="preserve"> forecasts with the 20 day forecasts </w:t>
      </w:r>
      <w:r w:rsidR="00FC1887">
        <w:rPr>
          <w:rFonts w:ascii="Times New Roman" w:hAnsi="Times New Roman" w:cs="Times New Roman"/>
          <w:sz w:val="24"/>
          <w:szCs w:val="24"/>
        </w:rPr>
        <w:t xml:space="preserve">but forecast accuracy is poorest at the one </w:t>
      </w:r>
      <w:r w:rsidR="00C055A3">
        <w:rPr>
          <w:rFonts w:ascii="Times New Roman" w:hAnsi="Times New Roman" w:cs="Times New Roman"/>
          <w:sz w:val="24"/>
          <w:szCs w:val="24"/>
        </w:rPr>
        <w:t xml:space="preserve">to five </w:t>
      </w:r>
      <w:r w:rsidR="00FC1887">
        <w:rPr>
          <w:rFonts w:ascii="Times New Roman" w:hAnsi="Times New Roman" w:cs="Times New Roman"/>
          <w:sz w:val="24"/>
          <w:szCs w:val="24"/>
        </w:rPr>
        <w:t>day forecast horizon.</w:t>
      </w:r>
      <w:r>
        <w:rPr>
          <w:rFonts w:ascii="Times New Roman" w:hAnsi="Times New Roman" w:cs="Times New Roman"/>
          <w:sz w:val="24"/>
          <w:szCs w:val="24"/>
        </w:rPr>
        <w:t xml:space="preserve"> </w:t>
      </w:r>
    </w:p>
    <w:p w14:paraId="5EFDA1B4" w14:textId="4B520915" w:rsidR="004E70B4" w:rsidRDefault="004E70B4" w:rsidP="009733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CF07AA">
        <w:rPr>
          <w:rFonts w:ascii="Times New Roman" w:hAnsi="Times New Roman" w:cs="Times New Roman"/>
          <w:sz w:val="24"/>
          <w:szCs w:val="24"/>
        </w:rPr>
        <w:t xml:space="preserve">his research offers </w:t>
      </w:r>
      <w:r>
        <w:rPr>
          <w:rFonts w:ascii="Times New Roman" w:hAnsi="Times New Roman" w:cs="Times New Roman"/>
          <w:sz w:val="24"/>
          <w:szCs w:val="24"/>
        </w:rPr>
        <w:t xml:space="preserve">several practical implications. First, </w:t>
      </w:r>
      <w:r w:rsidRPr="00FE6626">
        <w:rPr>
          <w:rFonts w:ascii="Times New Roman" w:hAnsi="Times New Roman" w:cs="Times New Roman"/>
          <w:sz w:val="24"/>
          <w:szCs w:val="24"/>
        </w:rPr>
        <w:t xml:space="preserve">random forests, </w:t>
      </w:r>
      <w:r w:rsidR="00CF07AA">
        <w:rPr>
          <w:rFonts w:ascii="Times New Roman" w:hAnsi="Times New Roman" w:cs="Times New Roman"/>
          <w:sz w:val="24"/>
          <w:szCs w:val="24"/>
        </w:rPr>
        <w:t>stochastic gradient boosting</w:t>
      </w:r>
      <w:r w:rsidRPr="00FE6626">
        <w:rPr>
          <w:rFonts w:ascii="Times New Roman" w:hAnsi="Times New Roman" w:cs="Times New Roman"/>
          <w:sz w:val="24"/>
          <w:szCs w:val="24"/>
        </w:rPr>
        <w:t>, and extremely randomized tre</w:t>
      </w:r>
      <w:r>
        <w:rPr>
          <w:rFonts w:ascii="Times New Roman" w:hAnsi="Times New Roman" w:cs="Times New Roman"/>
          <w:sz w:val="24"/>
          <w:szCs w:val="24"/>
        </w:rPr>
        <w:t>e</w:t>
      </w:r>
      <w:r w:rsidRPr="00FE6626">
        <w:rPr>
          <w:rFonts w:ascii="Times New Roman" w:hAnsi="Times New Roman" w:cs="Times New Roman"/>
          <w:sz w:val="24"/>
          <w:szCs w:val="24"/>
        </w:rPr>
        <w:t>s</w:t>
      </w:r>
      <w:r>
        <w:rPr>
          <w:rFonts w:ascii="Times New Roman" w:hAnsi="Times New Roman" w:cs="Times New Roman"/>
          <w:sz w:val="24"/>
          <w:szCs w:val="24"/>
        </w:rPr>
        <w:t xml:space="preserve"> </w:t>
      </w:r>
      <w:r w:rsidR="00CF07AA">
        <w:rPr>
          <w:rFonts w:ascii="Times New Roman" w:hAnsi="Times New Roman" w:cs="Times New Roman"/>
          <w:sz w:val="24"/>
          <w:szCs w:val="24"/>
        </w:rPr>
        <w:t xml:space="preserve">should be used to forecast clean energy stock price direction </w:t>
      </w:r>
      <w:r>
        <w:rPr>
          <w:rFonts w:ascii="Times New Roman" w:hAnsi="Times New Roman" w:cs="Times New Roman"/>
          <w:sz w:val="24"/>
          <w:szCs w:val="24"/>
        </w:rPr>
        <w:t xml:space="preserve">because these methods provide more accurate </w:t>
      </w:r>
      <w:r w:rsidR="00B07CD4">
        <w:rPr>
          <w:rFonts w:ascii="Times New Roman" w:hAnsi="Times New Roman" w:cs="Times New Roman"/>
          <w:sz w:val="24"/>
          <w:szCs w:val="24"/>
        </w:rPr>
        <w:t>prediction</w:t>
      </w:r>
      <w:r>
        <w:rPr>
          <w:rFonts w:ascii="Times New Roman" w:hAnsi="Times New Roman" w:cs="Times New Roman"/>
          <w:sz w:val="24"/>
          <w:szCs w:val="24"/>
        </w:rPr>
        <w:t xml:space="preserve">s </w:t>
      </w:r>
      <w:r w:rsidR="00C9460A">
        <w:rPr>
          <w:rFonts w:ascii="Times New Roman" w:hAnsi="Times New Roman" w:cs="Times New Roman"/>
          <w:sz w:val="24"/>
          <w:szCs w:val="24"/>
        </w:rPr>
        <w:t xml:space="preserve">than those computed from </w:t>
      </w:r>
      <w:r w:rsidR="005D4FA0">
        <w:rPr>
          <w:rFonts w:ascii="Times New Roman" w:hAnsi="Times New Roman" w:cs="Times New Roman"/>
          <w:sz w:val="24"/>
          <w:szCs w:val="24"/>
        </w:rPr>
        <w:t>Lasso</w:t>
      </w:r>
      <w:r w:rsidR="00EC2799">
        <w:rPr>
          <w:rFonts w:ascii="Times New Roman" w:hAnsi="Times New Roman" w:cs="Times New Roman"/>
          <w:sz w:val="24"/>
          <w:szCs w:val="24"/>
        </w:rPr>
        <w:t xml:space="preserve"> and Naïve Bayes</w:t>
      </w:r>
      <w:r>
        <w:rPr>
          <w:rFonts w:ascii="Times New Roman" w:hAnsi="Times New Roman" w:cs="Times New Roman"/>
          <w:sz w:val="24"/>
          <w:szCs w:val="24"/>
        </w:rPr>
        <w:t xml:space="preserve"> models. </w:t>
      </w:r>
      <w:r w:rsidR="00C12A4F">
        <w:rPr>
          <w:rFonts w:ascii="Times New Roman" w:hAnsi="Times New Roman" w:cs="Times New Roman"/>
          <w:sz w:val="24"/>
          <w:szCs w:val="24"/>
        </w:rPr>
        <w:t>R</w:t>
      </w:r>
      <w:r w:rsidR="00493F61">
        <w:rPr>
          <w:rFonts w:ascii="Times New Roman" w:hAnsi="Times New Roman" w:cs="Times New Roman"/>
          <w:sz w:val="24"/>
          <w:szCs w:val="24"/>
        </w:rPr>
        <w:t xml:space="preserve">andom forests and extremely randomized trees are </w:t>
      </w:r>
      <w:r>
        <w:rPr>
          <w:rFonts w:ascii="Times New Roman" w:hAnsi="Times New Roman" w:cs="Times New Roman"/>
          <w:sz w:val="24"/>
          <w:szCs w:val="24"/>
        </w:rPr>
        <w:t xml:space="preserve">particularly </w:t>
      </w:r>
      <w:r w:rsidR="00C12A4F">
        <w:rPr>
          <w:rFonts w:ascii="Times New Roman" w:hAnsi="Times New Roman" w:cs="Times New Roman"/>
          <w:sz w:val="24"/>
          <w:szCs w:val="24"/>
        </w:rPr>
        <w:t>worth using</w:t>
      </w:r>
      <w:r>
        <w:rPr>
          <w:rFonts w:ascii="Times New Roman" w:hAnsi="Times New Roman" w:cs="Times New Roman"/>
          <w:sz w:val="24"/>
          <w:szCs w:val="24"/>
        </w:rPr>
        <w:t xml:space="preserve"> because</w:t>
      </w:r>
      <w:r w:rsidR="00B07CD4">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E835BC">
        <w:rPr>
          <w:rFonts w:ascii="Times New Roman" w:hAnsi="Times New Roman" w:cs="Times New Roman"/>
          <w:sz w:val="24"/>
          <w:szCs w:val="24"/>
        </w:rPr>
        <w:t xml:space="preserve">are easy to </w:t>
      </w:r>
      <w:r w:rsidR="00B07CD4">
        <w:rPr>
          <w:rFonts w:ascii="Times New Roman" w:hAnsi="Times New Roman" w:cs="Times New Roman"/>
          <w:sz w:val="24"/>
          <w:szCs w:val="24"/>
        </w:rPr>
        <w:t>estimate</w:t>
      </w:r>
      <w:r w:rsidR="00E835BC">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E835BC">
        <w:rPr>
          <w:rFonts w:ascii="Times New Roman" w:hAnsi="Times New Roman" w:cs="Times New Roman"/>
          <w:sz w:val="24"/>
          <w:szCs w:val="24"/>
        </w:rPr>
        <w:t xml:space="preserve">take </w:t>
      </w:r>
      <w:r>
        <w:rPr>
          <w:rFonts w:ascii="Times New Roman" w:hAnsi="Times New Roman" w:cs="Times New Roman"/>
          <w:sz w:val="24"/>
          <w:szCs w:val="24"/>
        </w:rPr>
        <w:t xml:space="preserve">relatively </w:t>
      </w:r>
      <w:r w:rsidR="00E835BC">
        <w:rPr>
          <w:rFonts w:ascii="Times New Roman" w:hAnsi="Times New Roman" w:cs="Times New Roman"/>
          <w:sz w:val="24"/>
          <w:szCs w:val="24"/>
        </w:rPr>
        <w:t xml:space="preserve">little computation </w:t>
      </w:r>
      <w:r w:rsidR="00E835BC">
        <w:rPr>
          <w:rFonts w:ascii="Times New Roman" w:hAnsi="Times New Roman" w:cs="Times New Roman"/>
          <w:sz w:val="24"/>
          <w:szCs w:val="24"/>
        </w:rPr>
        <w:lastRenderedPageBreak/>
        <w:t>time</w:t>
      </w:r>
      <w:r>
        <w:rPr>
          <w:rFonts w:ascii="Times New Roman" w:hAnsi="Times New Roman" w:cs="Times New Roman"/>
          <w:sz w:val="24"/>
          <w:szCs w:val="24"/>
        </w:rPr>
        <w:t xml:space="preserve">. </w:t>
      </w:r>
      <w:r w:rsidR="00E30F60">
        <w:rPr>
          <w:rFonts w:ascii="Times New Roman" w:hAnsi="Times New Roman" w:cs="Times New Roman"/>
          <w:sz w:val="24"/>
          <w:szCs w:val="24"/>
        </w:rPr>
        <w:t xml:space="preserve">One recommendation is to use extremely randomized trees to </w:t>
      </w:r>
      <w:r w:rsidR="00493F61">
        <w:rPr>
          <w:rFonts w:ascii="Times New Roman" w:hAnsi="Times New Roman" w:cs="Times New Roman"/>
          <w:sz w:val="24"/>
          <w:szCs w:val="24"/>
        </w:rPr>
        <w:t>forecast</w:t>
      </w:r>
      <w:r w:rsidR="00E30F60">
        <w:rPr>
          <w:rFonts w:ascii="Times New Roman" w:hAnsi="Times New Roman" w:cs="Times New Roman"/>
          <w:sz w:val="24"/>
          <w:szCs w:val="24"/>
        </w:rPr>
        <w:t xml:space="preserve"> clean energy stock price directions because this method is computationally fast and produces high accuracy. </w:t>
      </w:r>
      <w:r w:rsidR="000B33E7">
        <w:rPr>
          <w:rFonts w:ascii="Times New Roman" w:hAnsi="Times New Roman" w:cs="Times New Roman"/>
          <w:sz w:val="24"/>
          <w:szCs w:val="24"/>
        </w:rPr>
        <w:t xml:space="preserve">If one is interested in high forecast accuracy and a closer examination of variable importance than random forests are a good choice. </w:t>
      </w:r>
      <w:r>
        <w:rPr>
          <w:rFonts w:ascii="Times New Roman" w:hAnsi="Times New Roman" w:cs="Times New Roman"/>
          <w:sz w:val="24"/>
          <w:szCs w:val="24"/>
        </w:rPr>
        <w:t>Second, the feature</w:t>
      </w:r>
      <w:r w:rsidR="00493F61">
        <w:rPr>
          <w:rFonts w:ascii="Times New Roman" w:hAnsi="Times New Roman" w:cs="Times New Roman"/>
          <w:sz w:val="24"/>
          <w:szCs w:val="24"/>
        </w:rPr>
        <w:t>s</w:t>
      </w:r>
      <w:r>
        <w:rPr>
          <w:rFonts w:ascii="Times New Roman" w:hAnsi="Times New Roman" w:cs="Times New Roman"/>
          <w:sz w:val="24"/>
          <w:szCs w:val="24"/>
        </w:rPr>
        <w:t xml:space="preserve"> used for </w:t>
      </w:r>
      <w:r w:rsidR="006604B9">
        <w:rPr>
          <w:rFonts w:ascii="Times New Roman" w:hAnsi="Times New Roman" w:cs="Times New Roman"/>
          <w:sz w:val="24"/>
          <w:szCs w:val="24"/>
        </w:rPr>
        <w:t>clean energy</w:t>
      </w:r>
      <w:r w:rsidR="0094301C">
        <w:rPr>
          <w:rFonts w:ascii="Times New Roman" w:hAnsi="Times New Roman" w:cs="Times New Roman"/>
          <w:sz w:val="24"/>
          <w:szCs w:val="24"/>
        </w:rPr>
        <w:t xml:space="preserve"> stock price </w:t>
      </w:r>
      <w:r>
        <w:rPr>
          <w:rFonts w:ascii="Times New Roman" w:hAnsi="Times New Roman" w:cs="Times New Roman"/>
          <w:sz w:val="24"/>
          <w:szCs w:val="24"/>
        </w:rPr>
        <w:t>prediction should include technical indicators</w:t>
      </w:r>
      <w:r w:rsidR="00E30F60">
        <w:rPr>
          <w:rFonts w:ascii="Times New Roman" w:hAnsi="Times New Roman" w:cs="Times New Roman"/>
          <w:sz w:val="24"/>
          <w:szCs w:val="24"/>
        </w:rPr>
        <w:t xml:space="preserve"> (like WAD and moving averages)</w:t>
      </w:r>
      <w:r w:rsidR="00D12646">
        <w:rPr>
          <w:rFonts w:ascii="Times New Roman" w:hAnsi="Times New Roman" w:cs="Times New Roman"/>
          <w:sz w:val="24"/>
          <w:szCs w:val="24"/>
        </w:rPr>
        <w:t>, VIX</w:t>
      </w:r>
      <w:r w:rsidR="00EC2799">
        <w:rPr>
          <w:rFonts w:ascii="Times New Roman" w:hAnsi="Times New Roman" w:cs="Times New Roman"/>
          <w:sz w:val="24"/>
          <w:szCs w:val="24"/>
        </w:rPr>
        <w:t xml:space="preserve"> and</w:t>
      </w:r>
      <w:r w:rsidR="00B91FBF">
        <w:rPr>
          <w:rFonts w:ascii="Times New Roman" w:hAnsi="Times New Roman" w:cs="Times New Roman"/>
          <w:sz w:val="24"/>
          <w:szCs w:val="24"/>
        </w:rPr>
        <w:t xml:space="preserve"> oil price volatility</w:t>
      </w:r>
      <w:r>
        <w:rPr>
          <w:rFonts w:ascii="Times New Roman" w:hAnsi="Times New Roman" w:cs="Times New Roman"/>
          <w:sz w:val="24"/>
          <w:szCs w:val="24"/>
        </w:rPr>
        <w:t xml:space="preserve">. </w:t>
      </w:r>
      <w:r w:rsidR="006604B9">
        <w:rPr>
          <w:rFonts w:ascii="Times New Roman" w:hAnsi="Times New Roman" w:cs="Times New Roman"/>
          <w:sz w:val="24"/>
          <w:szCs w:val="24"/>
        </w:rPr>
        <w:t>The literature on clean energy stock prices has verified that o</w:t>
      </w:r>
      <w:r w:rsidR="00FE1E72">
        <w:rPr>
          <w:rFonts w:ascii="Times New Roman" w:hAnsi="Times New Roman" w:cs="Times New Roman"/>
          <w:sz w:val="24"/>
          <w:szCs w:val="24"/>
        </w:rPr>
        <w:t xml:space="preserve">il </w:t>
      </w:r>
      <w:r w:rsidR="006604B9">
        <w:rPr>
          <w:rFonts w:ascii="Times New Roman" w:hAnsi="Times New Roman" w:cs="Times New Roman"/>
          <w:sz w:val="24"/>
          <w:szCs w:val="24"/>
        </w:rPr>
        <w:t>is an important variable impacting clean energy stock prices and the results f</w:t>
      </w:r>
      <w:r w:rsidR="006E53E2">
        <w:rPr>
          <w:rFonts w:ascii="Times New Roman" w:hAnsi="Times New Roman" w:cs="Times New Roman"/>
          <w:sz w:val="24"/>
          <w:szCs w:val="24"/>
        </w:rPr>
        <w:t>rom</w:t>
      </w:r>
      <w:r w:rsidR="006604B9">
        <w:rPr>
          <w:rFonts w:ascii="Times New Roman" w:hAnsi="Times New Roman" w:cs="Times New Roman"/>
          <w:sz w:val="24"/>
          <w:szCs w:val="24"/>
        </w:rPr>
        <w:t xml:space="preserve"> this paper </w:t>
      </w:r>
      <w:r w:rsidR="001915FE">
        <w:rPr>
          <w:rFonts w:ascii="Times New Roman" w:hAnsi="Times New Roman" w:cs="Times New Roman"/>
          <w:sz w:val="24"/>
          <w:szCs w:val="24"/>
        </w:rPr>
        <w:t>support</w:t>
      </w:r>
      <w:r w:rsidR="006604B9">
        <w:rPr>
          <w:rFonts w:ascii="Times New Roman" w:hAnsi="Times New Roman" w:cs="Times New Roman"/>
          <w:sz w:val="24"/>
          <w:szCs w:val="24"/>
        </w:rPr>
        <w:t xml:space="preserve"> the importance </w:t>
      </w:r>
      <w:r w:rsidR="00C12A4F">
        <w:rPr>
          <w:rFonts w:ascii="Times New Roman" w:hAnsi="Times New Roman" w:cs="Times New Roman"/>
          <w:sz w:val="24"/>
          <w:szCs w:val="24"/>
        </w:rPr>
        <w:t xml:space="preserve">of the </w:t>
      </w:r>
      <w:r w:rsidR="006604B9">
        <w:rPr>
          <w:rFonts w:ascii="Times New Roman" w:hAnsi="Times New Roman" w:cs="Times New Roman"/>
          <w:sz w:val="24"/>
          <w:szCs w:val="24"/>
        </w:rPr>
        <w:t xml:space="preserve">volatility </w:t>
      </w:r>
      <w:r w:rsidR="00C12A4F">
        <w:rPr>
          <w:rFonts w:ascii="Times New Roman" w:hAnsi="Times New Roman" w:cs="Times New Roman"/>
          <w:sz w:val="24"/>
          <w:szCs w:val="24"/>
        </w:rPr>
        <w:t xml:space="preserve">of oil prices </w:t>
      </w:r>
      <w:r w:rsidR="006604B9">
        <w:rPr>
          <w:rFonts w:ascii="Times New Roman" w:hAnsi="Times New Roman" w:cs="Times New Roman"/>
          <w:sz w:val="24"/>
          <w:szCs w:val="24"/>
        </w:rPr>
        <w:t xml:space="preserve">as a feature for </w:t>
      </w:r>
      <w:r w:rsidR="00493F61">
        <w:rPr>
          <w:rFonts w:ascii="Times New Roman" w:hAnsi="Times New Roman" w:cs="Times New Roman"/>
          <w:sz w:val="24"/>
          <w:szCs w:val="24"/>
        </w:rPr>
        <w:t>forecas</w:t>
      </w:r>
      <w:r w:rsidR="006604B9">
        <w:rPr>
          <w:rFonts w:ascii="Times New Roman" w:hAnsi="Times New Roman" w:cs="Times New Roman"/>
          <w:sz w:val="24"/>
          <w:szCs w:val="24"/>
        </w:rPr>
        <w:t>ting clean energy stock price direction.</w:t>
      </w:r>
      <w:r w:rsidR="002263D7">
        <w:rPr>
          <w:rFonts w:ascii="Times New Roman" w:hAnsi="Times New Roman" w:cs="Times New Roman"/>
          <w:sz w:val="24"/>
          <w:szCs w:val="24"/>
        </w:rPr>
        <w:t xml:space="preserve"> </w:t>
      </w:r>
      <w:r w:rsidR="006604B9">
        <w:rPr>
          <w:rFonts w:ascii="Times New Roman" w:hAnsi="Times New Roman" w:cs="Times New Roman"/>
          <w:sz w:val="24"/>
          <w:szCs w:val="24"/>
        </w:rPr>
        <w:t xml:space="preserve">  </w:t>
      </w:r>
    </w:p>
    <w:p w14:paraId="1FA8EF91" w14:textId="4ACD2AC1" w:rsidR="001915FE" w:rsidRDefault="001915FE" w:rsidP="009733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avenues for future research. One avenue for future research would be to </w:t>
      </w:r>
      <w:r w:rsidR="002263D7">
        <w:rPr>
          <w:rFonts w:ascii="Times New Roman" w:hAnsi="Times New Roman" w:cs="Times New Roman"/>
          <w:sz w:val="24"/>
          <w:szCs w:val="24"/>
        </w:rPr>
        <w:t xml:space="preserve">expand the predictor space to include </w:t>
      </w:r>
      <w:r w:rsidR="00F51787">
        <w:rPr>
          <w:rFonts w:ascii="Times New Roman" w:hAnsi="Times New Roman" w:cs="Times New Roman"/>
          <w:sz w:val="24"/>
          <w:szCs w:val="24"/>
        </w:rPr>
        <w:t xml:space="preserve">interest rate and exchange rate variables. Including these variables may offer a more complete picture of </w:t>
      </w:r>
      <w:r w:rsidR="004131A3">
        <w:rPr>
          <w:rFonts w:ascii="Times New Roman" w:hAnsi="Times New Roman" w:cs="Times New Roman"/>
          <w:sz w:val="24"/>
          <w:szCs w:val="24"/>
        </w:rPr>
        <w:t xml:space="preserve">how </w:t>
      </w:r>
      <w:r w:rsidR="00F51787">
        <w:rPr>
          <w:rFonts w:ascii="Times New Roman" w:hAnsi="Times New Roman" w:cs="Times New Roman"/>
          <w:sz w:val="24"/>
          <w:szCs w:val="24"/>
        </w:rPr>
        <w:t>business cycle conditions</w:t>
      </w:r>
      <w:r w:rsidR="004131A3">
        <w:rPr>
          <w:rFonts w:ascii="Times New Roman" w:hAnsi="Times New Roman" w:cs="Times New Roman"/>
          <w:sz w:val="24"/>
          <w:szCs w:val="24"/>
        </w:rPr>
        <w:t xml:space="preserve"> affect clean energy stock price predictability</w:t>
      </w:r>
      <w:r w:rsidR="00F51787">
        <w:rPr>
          <w:rFonts w:ascii="Times New Roman" w:hAnsi="Times New Roman" w:cs="Times New Roman"/>
          <w:sz w:val="24"/>
          <w:szCs w:val="24"/>
        </w:rPr>
        <w:t xml:space="preserve">. Another possible avenue for future research would be to </w:t>
      </w:r>
      <w:r>
        <w:rPr>
          <w:rFonts w:ascii="Times New Roman" w:hAnsi="Times New Roman" w:cs="Times New Roman"/>
          <w:sz w:val="24"/>
          <w:szCs w:val="24"/>
        </w:rPr>
        <w:t xml:space="preserve">forecast the stock prices of individual clean energy companies.  </w:t>
      </w:r>
      <w:bookmarkStart w:id="4" w:name="_GoBack"/>
      <w:bookmarkEnd w:id="4"/>
    </w:p>
    <w:p w14:paraId="11C5231D" w14:textId="206CB671" w:rsidR="003105CE" w:rsidRPr="00442936" w:rsidRDefault="003105CE" w:rsidP="00DC359D">
      <w:pPr>
        <w:spacing w:after="0" w:line="480" w:lineRule="auto"/>
        <w:rPr>
          <w:rFonts w:ascii="Times New Roman" w:hAnsi="Times New Roman" w:cs="Times New Roman"/>
          <w:sz w:val="24"/>
          <w:szCs w:val="24"/>
        </w:rPr>
      </w:pPr>
    </w:p>
    <w:p w14:paraId="59289703" w14:textId="500CAFE7" w:rsidR="00670A88" w:rsidRPr="000C5CA2" w:rsidRDefault="00670A88" w:rsidP="00670A88">
      <w:pPr>
        <w:spacing w:after="0" w:line="240" w:lineRule="auto"/>
        <w:rPr>
          <w:rFonts w:ascii="Times New Roman" w:hAnsi="Times New Roman" w:cs="Times New Roman"/>
          <w:b/>
          <w:sz w:val="24"/>
          <w:szCs w:val="24"/>
        </w:rPr>
      </w:pPr>
      <w:r w:rsidRPr="000C5CA2">
        <w:rPr>
          <w:rFonts w:ascii="Times New Roman" w:hAnsi="Times New Roman" w:cs="Times New Roman"/>
          <w:b/>
          <w:sz w:val="24"/>
          <w:szCs w:val="24"/>
        </w:rPr>
        <w:t>References</w:t>
      </w:r>
    </w:p>
    <w:p w14:paraId="05363E30" w14:textId="77777777" w:rsidR="00A31F3E" w:rsidRPr="0035670C" w:rsidRDefault="00A31F3E" w:rsidP="00670A88">
      <w:pPr>
        <w:spacing w:after="0" w:line="240" w:lineRule="auto"/>
        <w:rPr>
          <w:rFonts w:ascii="Times New Roman" w:hAnsi="Times New Roman" w:cs="Times New Roman"/>
          <w:sz w:val="24"/>
          <w:szCs w:val="24"/>
        </w:rPr>
      </w:pPr>
    </w:p>
    <w:p w14:paraId="1C1CFFCA" w14:textId="77777777" w:rsidR="003919DA" w:rsidRPr="0035670C" w:rsidRDefault="00670A88"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fldChar w:fldCharType="begin"/>
      </w:r>
      <w:r w:rsidR="00F31A70" w:rsidRPr="0035670C">
        <w:rPr>
          <w:rFonts w:ascii="Times New Roman" w:hAnsi="Times New Roman" w:cs="Times New Roman"/>
          <w:sz w:val="24"/>
          <w:szCs w:val="24"/>
        </w:rPr>
        <w:instrText xml:space="preserve"> ADDIN ZOTERO_BIBL {"uncited":[],"omitted":[],"custom":[]} CSL_BIBLIOGRAPHY </w:instrText>
      </w:r>
      <w:r w:rsidRPr="0035670C">
        <w:rPr>
          <w:rFonts w:ascii="Times New Roman" w:hAnsi="Times New Roman" w:cs="Times New Roman"/>
          <w:sz w:val="24"/>
          <w:szCs w:val="24"/>
        </w:rPr>
        <w:fldChar w:fldCharType="separate"/>
      </w:r>
      <w:r w:rsidR="003919DA" w:rsidRPr="0035670C">
        <w:rPr>
          <w:rFonts w:ascii="Times New Roman" w:hAnsi="Times New Roman" w:cs="Times New Roman"/>
          <w:sz w:val="24"/>
          <w:szCs w:val="24"/>
        </w:rPr>
        <w:t>Ahmad, W., Sadorsky, P., Sharma, A., 2018. Optimal hedge ratios for clean energy equities. Economic Modelling 72, 278–295. https://doi.org/10.1016/j.econmod.2018.02.008</w:t>
      </w:r>
    </w:p>
    <w:p w14:paraId="1F8DA9F3"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Ampomah, E.K., Qin, Z., Nyame, G., 2020. Evaluation of Tree-Based Ensemble Machine Learning Models in Predicting Stock Price Direction of Movement. Information 11, 332. https://doi.org/10.3390/info11060332</w:t>
      </w:r>
    </w:p>
    <w:p w14:paraId="18BD8048"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Arouri, M., Estay, C., Rault, C., Roubaud, D., 2016. Economic policy uncertainty and stock markets: Long-run evidence from the US. Finance Research Letters 18, 136–141. https://doi.org/10.1016/j.frl.2016.04.011</w:t>
      </w:r>
    </w:p>
    <w:p w14:paraId="38EF1C0E"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Baker, S.R., Bloom, N., Davis, S.J., 2016. Measuring Economic Policy Uncertainty. Q J Econ 131, 1593–1636. https://doi.org/10.1093/qje/qjw024</w:t>
      </w:r>
    </w:p>
    <w:p w14:paraId="48140D04"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Ballings, M., Van den Poel, D., Hespeels, N., Gryp, R., 2015. Evaluating multiple classifiers for stock price direction prediction. Expert Systems with Applications 42, 7046–7056. https://doi.org/10.1016/j.eswa.2015.05.013</w:t>
      </w:r>
    </w:p>
    <w:p w14:paraId="44443AAE"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lastRenderedPageBreak/>
        <w:t>Basak, S., Kar, S., Saha, S., Khaidem, L., Dey, S.R., 2019. Predicting the direction of stock market prices using tree-based classifiers. The North American Journal of Economics and Finance 47, 552–567. https://doi.org/10.1016/j.najef.2018.06.013</w:t>
      </w:r>
    </w:p>
    <w:p w14:paraId="088BF217"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BloombergNEF, 2022. Energy Transition Investment Trends 2022.</w:t>
      </w:r>
    </w:p>
    <w:p w14:paraId="7BD31DC4"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Bondia, R., Ghosh, S., Kanjilal, K., 2016. International crude oil prices and the stock prices of clean energy and technology companies: Evidence from non-linear cointegration tests with unknown structural breaks. Energy 101, 558–565. https://doi.org/10.1016/j.energy.2016.02.031</w:t>
      </w:r>
    </w:p>
    <w:p w14:paraId="6D29D7FE"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Breiman, L., 2001. Random Forests. Machine Learning 45, 5–32. https://doi.org/10.1023/A:1010933404324</w:t>
      </w:r>
    </w:p>
    <w:p w14:paraId="79502BC6"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Bustos, O., Pomares-Quimbaya, A., 2020. Stock market movement forecast: A Systematic review. Expert Systems with Applications 156, 113464. https://doi.org/10.1016/j.eswa.2020.113464</w:t>
      </w:r>
    </w:p>
    <w:p w14:paraId="13AC388E"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Chakrabarti, G., Sen, C., 2021. Dynamic market risk of green stocks across regions: Where does the devil lie? Journal of Cleaner Production 303, 127028. https://doi.org/10.1016/j.jclepro.2021.127028</w:t>
      </w:r>
    </w:p>
    <w:p w14:paraId="5102492C"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Chatziantoniou, I., Filippidis, M., Filis, G., Gabauer, D., 2021. A closer look into the global determinants of oil price volatility. Energy Economics 95, 105092. https://doi.org/10.1016/j.eneco.2020.105092</w:t>
      </w:r>
    </w:p>
    <w:p w14:paraId="5FBDEF8E"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Dutta, A., 2019. Impact of silver price uncertainty on solar energy firms. Journal of Cleaner Production 225, 1044–1051. https://doi.org/10.1016/j.jclepro.2019.04.040</w:t>
      </w:r>
    </w:p>
    <w:p w14:paraId="149BFADF"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Dutta, A., 2018. Oil and energy sector stock markets: An analysis of implied volatility indexes. Journal of Multinational Financial Management 44, 61–68. https://doi.org/10.1016/j.mulfin.2017.12.002</w:t>
      </w:r>
    </w:p>
    <w:p w14:paraId="3EF40026"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Dutta, A., 2017. Oil price uncertainty and clean energy stock returns: New evidence from crude oil volatility index. Journal of Cleaner Production 164, 1157–1166. https://doi.org/10.1016/j.jclepro.2017.07.050</w:t>
      </w:r>
    </w:p>
    <w:p w14:paraId="31B6820E"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Dutta, A., Bouri, E., Das, D., Roubaud, D., 2020. Assessment and optimization of clean energy equity risks and commodity price volatility indexes: Implications for sustainability. Journal of Cleaner Production 243, 118669. https://doi.org/10.1016/j.jclepro.2019.118669</w:t>
      </w:r>
    </w:p>
    <w:p w14:paraId="41A81B2B"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Dutta, A., Bouri, E., Noor, M.H., 2018. Return and volatility linkages between CO2 emission and clean energy stock prices. Energy 164, 803–810.</w:t>
      </w:r>
    </w:p>
    <w:p w14:paraId="6927106B"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Elie, B., Naji, J., Dutta, A., Uddin, G.S., 2019a. Gold and crude oil as safe-haven assets for clean energy stock indices: Blended copulas approach. Energy 178, 544–553.</w:t>
      </w:r>
    </w:p>
    <w:p w14:paraId="1AADC3DF"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Elie, B., Naji, J., Dutta, A., Uddin, G.S., 2019b. Gold and crude oil as safe-haven assets for clean energy stock indices: Blended copulas approach. Energy 178, 544–553. https://doi.org/10.1016/j.energy.2019.04.155</w:t>
      </w:r>
    </w:p>
    <w:p w14:paraId="1740042D"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Ferrer, R., Shahzad, S.J.H., López, R., Jareño, F., 2018. Time and frequency dynamics of connectedness between renewable energy stocks and crude oil prices. Energy Economics 76, 1–20. https://doi.org/10.1016/j.eneco.2018.09.022</w:t>
      </w:r>
    </w:p>
    <w:p w14:paraId="0DECF4BD"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Geng, J.-B., Liu, C., Ji, Q., Zhang, D., 2021. Do oil price changes really matter for clean energy returns? Renewable and Sustainable Energy Reviews 150, 111429. https://doi.org/10.1016/j.rser.2021.111429</w:t>
      </w:r>
    </w:p>
    <w:p w14:paraId="5675A796"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Geurts, P., Ernst, D., Wehenkel, L., 2006. Extremely randomized trees. Mach Learn 63, 3–42. https://doi.org/10.1007/s10994-006-6226-1</w:t>
      </w:r>
    </w:p>
    <w:p w14:paraId="7AAB16C8"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lastRenderedPageBreak/>
        <w:t>Ghosh, P., Neufeld, A., Sahoo, J.K., 2021. Forecasting directional movements of stock prices for intraday trading using LSTM and random forests. Finance Research Letters 102280. https://doi.org/10.1016/j.frl.2021.102280</w:t>
      </w:r>
    </w:p>
    <w:p w14:paraId="1095E913"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Greenwell, B., 2021. fastshap: Fast Approximate Shapley Values.</w:t>
      </w:r>
    </w:p>
    <w:p w14:paraId="621B3F76"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Greenwell, B., Boehmke, B., Cunningham, J., Developers  (https://github.com/gbm-developers), G.B.M., 2020. gbm: Generalized Boosted Regression Models.</w:t>
      </w:r>
    </w:p>
    <w:p w14:paraId="4A5E8F99"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Gupta, K., 2017. Do economic and societal factors influence the financial performance of alternative energy firms? Energy Economics 65, 172–182. https://doi.org/10.1016/j.eneco.2017.05.004</w:t>
      </w:r>
    </w:p>
    <w:p w14:paraId="28B7B27B"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Hastie, T., Tibshirani, R., Friedman, J., 2009. The Elements of Statistical Learning: Data Mining, Inference, and Prediction, Second Edition, 2nd ed, Springer Series in Statistics. Springer-Verlag, New York. https://doi.org/10.1007/978-0-387-84858-7</w:t>
      </w:r>
    </w:p>
    <w:p w14:paraId="2A46E09E"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Henriques, I., Sadorsky, P., 2008. Oil prices and the stock prices of alternative energy companies. Energy Economics 30, 998–1010. https://doi.org/10.1016/j.eneco.2007.11.001</w:t>
      </w:r>
    </w:p>
    <w:p w14:paraId="7C23CF42"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James, G., Witten, D., Hastie, T., Tibshirani, R., 2013. An Introduction to Statistical Learning: with Applications in R, Springer Texts in Statistics. Springer-Verlag, New York. https://doi.org/10.1007/978-1-4614-7138-7</w:t>
      </w:r>
    </w:p>
    <w:p w14:paraId="04D30A38"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Ji, Q., Liu, B.-Y., Nehler, H., Uddin, G.S., 2018. Uncertainties and extreme risk spillover in the energy markets: A time-varying copula-based CoVaR approach. Energy Economics 76, 115–126. https://doi.org/10.1016/j.eneco.2018.10.010</w:t>
      </w:r>
    </w:p>
    <w:p w14:paraId="2F3BC7E8"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Khan, W., Ghazanfar, M.A., Azam, M.A., Karami, A., Alyoubi, K.H., Alfakeeh, A.S., 2020. Stock market prediction using machine learning classifiers and social media, news. J Ambient Intell Human Comput. https://doi.org/10.1007/s12652-020-01839-w</w:t>
      </w:r>
    </w:p>
    <w:p w14:paraId="2370E6A6"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Kuhn, M., Wing, J., Weston, S., Williams, A., Keefer, C., Engelhardt, A., Cooper, T., Mayer, Z., Kenkel, B., R Core Team, Benesty, M., Lescarbeau, R., Ziem, A., Scrucca, L., Tang, Y., Candan, C., Hunt, T., 2020. caret: Classification and Regression Training.</w:t>
      </w:r>
    </w:p>
    <w:p w14:paraId="3D4D4034"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Kumar, S., Managi, S., Matsuda, A., 2012. Stock prices of clean energy firms, oil and carbon markets: A vector autoregressive analysis. Energy Economics 34, 215–226. https://doi.org/10.1016/j.eneco.2011.03.002</w:t>
      </w:r>
    </w:p>
    <w:p w14:paraId="57A4D2D2"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Le, T.-L., Abakah, E.J.A., Tiwari, A.K., 2021. Time and frequency domain connectedness and spill-over among fintech, green bonds and cryptocurrencies in the age of the fourth industrial revolution. Technological Forecasting and Social Change 162, 120382. https://doi.org/10.1016/j.techfore.2020.120382</w:t>
      </w:r>
    </w:p>
    <w:p w14:paraId="6938AA83"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Leung, M.T., Daouk, H., Chen, A.-S., 2000. Forecasting stock indices: a comparison of classification and level estimation models. International Journal of Forecasting 16, 173–190. https://doi.org/10.1016/S0169-2070(99)00048-5</w:t>
      </w:r>
    </w:p>
    <w:p w14:paraId="3DF256D4"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Liu, T., Hamori, S., 2020. Spillovers to Renewable Energy Stocks in the US and Europe: Are They Different? Energies 13, 3162. https://doi.org/10.3390/en13123162</w:t>
      </w:r>
    </w:p>
    <w:p w14:paraId="14F9EACB"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Liu, T., Nakajima, T., Hamori, S., 2022. The impact of economic uncertainty caused by COVID-19 on renewable energy stocks. Empir Econ 62, 1495–1515. https://doi.org/10.1007/s00181-021-02087-3</w:t>
      </w:r>
    </w:p>
    <w:p w14:paraId="52B1372D"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Lohrmann, C., Luukka, P., 2019. Classification of intraday S&amp;P500 returns with a Random Forest. International Journal of Forecasting, Special Section: Supply Chain Forecasting 35, 390–407. https://doi.org/10.1016/j.ijforecast.2018.08.004</w:t>
      </w:r>
    </w:p>
    <w:p w14:paraId="739E937C"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lastRenderedPageBreak/>
        <w:t>Lundberg, S., Lee, S.-I., 2016. An unexpected unity among methods for interpreting model predictions. Presented at the Advances in Neural Information Processing Systems, arXiv. https://doi.org/10.48550/arXiv.1611.07478</w:t>
      </w:r>
    </w:p>
    <w:p w14:paraId="258CE998"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Lundberg, S.M., Lee, S.-I., 2017. A Unified Approach to Interpreting Model Predictions, in: Advances in Neural Information Processing Systems. Curran Associates, Inc.</w:t>
      </w:r>
    </w:p>
    <w:p w14:paraId="29EA3547"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Lundgren, A.I., Milicevic, A., Uddin, G.S., Kang, S.H., 2018. Connectedness network and dependence structure mechanism in green investments. Energy Economics 72, 145–153. https://doi.org/10.1016/j.eneco.2018.04.015</w:t>
      </w:r>
    </w:p>
    <w:p w14:paraId="190A9C18"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Maghyereh, A.I., Awartani, B., Abdoh, H., 2019. The co-movement between oil and clean energy stocks: A wavelet-based analysis of horizon associations. Energy 169, 895–913.</w:t>
      </w:r>
    </w:p>
    <w:p w14:paraId="4712FA24"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Managi, S., Okimoto, T., 2013. Does the price of oil interact with clean energy prices in the stock market? Japan and the World Economy 27, 1–9. https://doi.org/10.1016/j.japwor.2013.03.003</w:t>
      </w:r>
    </w:p>
    <w:p w14:paraId="3E132479"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Meyer, D., Dimitriadou, E., Hornik, K., Weingessel, A., Leisch, F., C++-code), C.-C.C. (libsvm, C++-code), C.-C.L. (libsvm, 2021. e1071: Misc Functions of the Department of Statistics, Probability Theory Group (Formerly: E1071), TU Wien.</w:t>
      </w:r>
    </w:p>
    <w:p w14:paraId="7F6B1749"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Mullainathan, S., Spiess, J., 2017. Machine Learning: An Applied Econometric Approach. Journal of Economic Perspectives 31, 87–106. https://doi.org/10.1257/jep.31.2.87</w:t>
      </w:r>
    </w:p>
    <w:p w14:paraId="4A6949D9"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Nasreen, S., Tiwari, A.K., Eizaguirre, J.C., Wohar, M.E., 2020. Dynamic connectedness between oil prices and stock returns of clean energy and technology companies. Journal of Cleaner Production 260, 121015. https://doi.org/10.1016/j.jclepro.2020.121015</w:t>
      </w:r>
    </w:p>
    <w:p w14:paraId="4442ED43"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Neely, C.J., Rapach, D.E., Tu, J., Zhou, G., 2014. Forecasting the Equity Risk Premium: The Role of Technical Indicators. Management Science 60, 1772–1791. https://doi.org/10.1287/mnsc.2013.1838</w:t>
      </w:r>
    </w:p>
    <w:p w14:paraId="5694FE9A"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Nyberg, H., 2011. Forecasting the direction of the US stock market with dynamic binary probit models. International Journal of Forecasting 27, 561–578. https://doi.org/10.1016/j.ijforecast.2010.02.008</w:t>
      </w:r>
    </w:p>
    <w:p w14:paraId="2CF83CED"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Nyberg, H., Pönkä, H., 2016. International sign predictability of stock returns: The role of the United States. Economic Modelling 58, 323–338. https://doi.org/10.1016/j.econmod.2016.06.013</w:t>
      </w:r>
    </w:p>
    <w:p w14:paraId="4A4627EA"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Pástor, L., Veronesi, P., 2012. Uncertainty about Government Policy and Stock Prices. The Journal of Finance 67, 1219–1264. https://doi.org/10.1111/j.1540-6261.2012.01746.x</w:t>
      </w:r>
    </w:p>
    <w:p w14:paraId="0076115B"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Pesaran, M.H., Timmermann, A., 2002. Market timing and return prediction under model instability. Journal of Empirical Finance 9, 495–510. https://doi.org/10.1016/S0927-5398(02)00007-5</w:t>
      </w:r>
    </w:p>
    <w:p w14:paraId="4C847F43"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Pham, L., 2021. Frequency connectedness and cross-quantile dependence between green bond and green equity markets. Energy Economics 98, 105257. https://doi.org/10.1016/j.eneco.2021.105257</w:t>
      </w:r>
    </w:p>
    <w:p w14:paraId="121317D1"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Pham, L., 2019. Do all clean energy stocks respond homogeneously to oil price? Energy Economics 81, 355–379. https://doi.org/10.1016/j.eneco.2019.04.010</w:t>
      </w:r>
    </w:p>
    <w:p w14:paraId="01857024"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Pönkä, H., 2016. Real oil prices and the international sign predictability of stock returns. Finance Research Letters 17, 79–87. https://doi.org/10.1016/j.frl.2016.01.011</w:t>
      </w:r>
    </w:p>
    <w:p w14:paraId="772BC5EE"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R Core Team, 2022. R: A Language and Environment for Statistical Computing. The R Project for Statistical Computing, Vienna, Austria.</w:t>
      </w:r>
    </w:p>
    <w:p w14:paraId="655525C9"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Reboredo, J.C., 2015. Is there dependence and systemic risk between oil and renewable energy stock prices? Energy Economics 48, 32–45. https://doi.org/10.1016/j.eneco.2014.12.009</w:t>
      </w:r>
    </w:p>
    <w:p w14:paraId="0E976BCF"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lastRenderedPageBreak/>
        <w:t>Reboredo, J.C., Quintela, M., Otero, L.A., 2017. Do investors pay a premium for going green? Evidence from alternative energy mutual funds. Renewable and Sustainable Energy Reviews 73, 512–520. https://doi.org/10.1016/j.rser.2017.01.158</w:t>
      </w:r>
    </w:p>
    <w:p w14:paraId="620FAB3B"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Reboredo, J.C., Ugolini, A., 2018. The impact of energy prices on clean energy stock prices. A multivariate quantile dependence approach. Energy Economics 76, 136–152. https://doi.org/10.1016/j.eneco.2018.10.012</w:t>
      </w:r>
    </w:p>
    <w:p w14:paraId="0E28D7C5"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Sadorsky, P., 2022. Forecasting solar stock prices using tree-based machine learning classification: How important are silver prices? The North American Journal of Economics and Finance 61, 101705. https://doi.org/10.1016/j.najef.2022.101705</w:t>
      </w:r>
    </w:p>
    <w:p w14:paraId="4FEA522B"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Sadorsky, P., 2021a. A Random Forests Approach to Predicting Clean Energy Stock Prices. Journal of Risk and Financial Management 14, 48. https://doi.org/10.3390/jrfm14020048</w:t>
      </w:r>
    </w:p>
    <w:p w14:paraId="6B5F1EE6"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Sadorsky, P., 2021b. Predicting Gold and Silver Price Direction Using Tree-Based Classifiers. Journal of Risk and Financial Management 14, 198. https://doi.org/10.3390/jrfm14050198</w:t>
      </w:r>
    </w:p>
    <w:p w14:paraId="3B31513F"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Saeed, T., Bouri, E., Alsulami, H., 2021. Extreme return connectedness and its determinants between clean/green and dirty energy investments. Energy Economics 96, 105017. https://doi.org/10.1016/j.eneco.2020.105017</w:t>
      </w:r>
    </w:p>
    <w:p w14:paraId="6E06A2BE"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Schwert, G.W., 1990. Stock Market Volatility. Financial Analysts Journal 46, 23–34. https://doi.org/10.2469/faj.v46.n3.23</w:t>
      </w:r>
    </w:p>
    <w:p w14:paraId="0F9E5075"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Simm, J., Abril, I.M. de, 2014. extraTrees: Extremely Randomized Trees (ExtraTrees) Method for Classification and Regression.</w:t>
      </w:r>
    </w:p>
    <w:p w14:paraId="47814EAD"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The Economist, 2020. The world’s energy system must be transformed completely. The Economist May 23 edition.</w:t>
      </w:r>
    </w:p>
    <w:p w14:paraId="46B42933"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Uddin, G.S., Rahman, M.L., Hedström, A., Ahmed, A., 2019. Cross-quantilogram-based correlation and dependence between renewable energy stock and other asset classes. Energy Economics 80, 743–759. https://doi.org/10.1016/j.eneco.2019.02.014</w:t>
      </w:r>
    </w:p>
    <w:p w14:paraId="089D6804"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Ulrich, J., 2020. TTR: Technical Trading Rules.</w:t>
      </w:r>
    </w:p>
    <w:p w14:paraId="19AC16CE"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Wang, Y., Liu, L., Wu, C., 2020. Forecasting commodity prices out-of-sample: Can technical indicators help? International Journal of Forecasting 36, 666–683. https://doi.org/10.1016/j.ijforecast.2019.08.004</w:t>
      </w:r>
    </w:p>
    <w:p w14:paraId="79F39CE5"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Wen, X., Guo, Y., Wei, Y., Huang, D., 2014. How do the stock prices of new energy and fossil fuel companies correlate? Evidence from China. Energy Economics 41, 63–75. https://doi.org/10.1016/j.eneco.2013.10.018</w:t>
      </w:r>
    </w:p>
    <w:p w14:paraId="11D70903"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Weng, B., Lu, L., Wang, X., Megahed, F.M., Martinez, W., 2018. Predicting short-term stock prices using ensemble methods and online data sources. Expert Systems with Applications 112, 258–273. https://doi.org/10.1016/j.eswa.2018.06.016</w:t>
      </w:r>
    </w:p>
    <w:p w14:paraId="01816979"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Wright, M.N., Wager, S., Probst, P., 2022. ranger: A Fast Implementation of Random Forests.</w:t>
      </w:r>
    </w:p>
    <w:p w14:paraId="5CB7EEF8"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Yin, L., Yang, Q., 2016. Predicting the oil prices: Do technical indicators help? Energy Economics 56, 338–350. https://doi.org/10.1016/j.eneco.2016.03.017</w:t>
      </w:r>
    </w:p>
    <w:p w14:paraId="175779C9"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Yin, L., Yang, Q., Su, Z., 2017. Predictability of structural co-movement in commodity prices: the role of technical indicators. Quantitative Finance 17, 795–812. https://doi.org/10.1080/14697688.2016.1225977</w:t>
      </w:r>
    </w:p>
    <w:p w14:paraId="11E7E339" w14:textId="77777777" w:rsidR="003919DA" w:rsidRPr="0035670C" w:rsidRDefault="003919DA" w:rsidP="003919DA">
      <w:pPr>
        <w:pStyle w:val="Bibliography"/>
        <w:rPr>
          <w:rFonts w:ascii="Times New Roman" w:hAnsi="Times New Roman" w:cs="Times New Roman"/>
          <w:sz w:val="24"/>
          <w:szCs w:val="24"/>
        </w:rPr>
      </w:pPr>
      <w:r w:rsidRPr="0035670C">
        <w:rPr>
          <w:rFonts w:ascii="Times New Roman" w:hAnsi="Times New Roman" w:cs="Times New Roman"/>
          <w:sz w:val="24"/>
          <w:szCs w:val="24"/>
        </w:rPr>
        <w:t>Zhao, X., 2020. Do the stock returns of clean energy corporations respond to oil price shocks and policy uncertainty? Economic Structures 9, 53. https://doi.org/10.1186/s40008-020-00229-x</w:t>
      </w:r>
    </w:p>
    <w:p w14:paraId="51B69582" w14:textId="0804B4F6" w:rsidR="00173951" w:rsidRPr="0035670C" w:rsidRDefault="00670A88" w:rsidP="00CA5392">
      <w:pPr>
        <w:spacing w:after="0" w:line="240" w:lineRule="auto"/>
        <w:rPr>
          <w:rFonts w:ascii="Times New Roman" w:hAnsi="Times New Roman" w:cs="Times New Roman"/>
          <w:sz w:val="24"/>
          <w:szCs w:val="24"/>
        </w:rPr>
      </w:pPr>
      <w:r w:rsidRPr="0035670C">
        <w:rPr>
          <w:rFonts w:ascii="Times New Roman" w:hAnsi="Times New Roman" w:cs="Times New Roman"/>
          <w:sz w:val="24"/>
          <w:szCs w:val="24"/>
        </w:rPr>
        <w:fldChar w:fldCharType="end"/>
      </w:r>
    </w:p>
    <w:p w14:paraId="5848116B" w14:textId="77777777" w:rsidR="00D15FAA" w:rsidRPr="0035670C" w:rsidRDefault="00D15FAA" w:rsidP="00CA5392">
      <w:pPr>
        <w:spacing w:after="0" w:line="240" w:lineRule="auto"/>
        <w:rPr>
          <w:rFonts w:ascii="Times New Roman" w:hAnsi="Times New Roman" w:cs="Times New Roman"/>
          <w:sz w:val="24"/>
          <w:szCs w:val="24"/>
        </w:rPr>
      </w:pPr>
    </w:p>
    <w:sectPr w:rsidR="00D15FAA" w:rsidRPr="0035670C">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3C861" w14:textId="77777777" w:rsidR="00D00ECB" w:rsidRDefault="00D00ECB" w:rsidP="00401ED8">
      <w:pPr>
        <w:spacing w:after="0" w:line="240" w:lineRule="auto"/>
      </w:pPr>
      <w:r>
        <w:separator/>
      </w:r>
    </w:p>
  </w:endnote>
  <w:endnote w:type="continuationSeparator" w:id="0">
    <w:p w14:paraId="0110135C" w14:textId="77777777" w:rsidR="00D00ECB" w:rsidRDefault="00D00ECB" w:rsidP="00401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598641"/>
      <w:docPartObj>
        <w:docPartGallery w:val="Page Numbers (Bottom of Page)"/>
        <w:docPartUnique/>
      </w:docPartObj>
    </w:sdtPr>
    <w:sdtEndPr>
      <w:rPr>
        <w:noProof/>
      </w:rPr>
    </w:sdtEndPr>
    <w:sdtContent>
      <w:p w14:paraId="18B48B6E" w14:textId="77777777" w:rsidR="005D4FA0" w:rsidRDefault="005D4FA0">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6155C776" w14:textId="77777777" w:rsidR="005D4FA0" w:rsidRDefault="005D4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DF9B0" w14:textId="77777777" w:rsidR="00D00ECB" w:rsidRDefault="00D00ECB" w:rsidP="00401ED8">
      <w:pPr>
        <w:spacing w:after="0" w:line="240" w:lineRule="auto"/>
      </w:pPr>
      <w:r>
        <w:separator/>
      </w:r>
    </w:p>
  </w:footnote>
  <w:footnote w:type="continuationSeparator" w:id="0">
    <w:p w14:paraId="1FBFD1A2" w14:textId="77777777" w:rsidR="00D00ECB" w:rsidRDefault="00D00ECB" w:rsidP="00401ED8">
      <w:pPr>
        <w:spacing w:after="0" w:line="240" w:lineRule="auto"/>
      </w:pPr>
      <w:r>
        <w:continuationSeparator/>
      </w:r>
    </w:p>
  </w:footnote>
  <w:footnote w:id="1">
    <w:p w14:paraId="094FE956" w14:textId="6A65A2FC" w:rsidR="005D4FA0" w:rsidRDefault="005D4FA0">
      <w:pPr>
        <w:pStyle w:val="FootnoteText"/>
      </w:pPr>
      <w:r w:rsidRPr="00D568C1">
        <w:rPr>
          <w:rStyle w:val="FootnoteReference"/>
        </w:rPr>
        <w:footnoteRef/>
      </w:r>
      <w:r>
        <w:t xml:space="preserve"> </w:t>
      </w:r>
      <w:r w:rsidRPr="008534C7">
        <w:t>https://www.theguardian.com/environment/2015/jan/09/solar-power-drives-renewable-energy-investment-boom-2014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865D7"/>
    <w:multiLevelType w:val="hybridMultilevel"/>
    <w:tmpl w:val="6F7C7652"/>
    <w:lvl w:ilvl="0" w:tplc="8E9ECAB4">
      <w:start w:val="1"/>
      <w:numFmt w:val="bullet"/>
      <w:lvlText w:val=""/>
      <w:lvlJc w:val="left"/>
      <w:pPr>
        <w:tabs>
          <w:tab w:val="num" w:pos="720"/>
        </w:tabs>
        <w:ind w:left="720" w:hanging="360"/>
      </w:pPr>
      <w:rPr>
        <w:rFonts w:ascii="Symbol" w:hAnsi="Symbol" w:hint="default"/>
      </w:rPr>
    </w:lvl>
    <w:lvl w:ilvl="1" w:tplc="DE74C55A" w:tentative="1">
      <w:start w:val="1"/>
      <w:numFmt w:val="bullet"/>
      <w:lvlText w:val=""/>
      <w:lvlJc w:val="left"/>
      <w:pPr>
        <w:tabs>
          <w:tab w:val="num" w:pos="1440"/>
        </w:tabs>
        <w:ind w:left="1440" w:hanging="360"/>
      </w:pPr>
      <w:rPr>
        <w:rFonts w:ascii="Symbol" w:hAnsi="Symbol" w:hint="default"/>
      </w:rPr>
    </w:lvl>
    <w:lvl w:ilvl="2" w:tplc="80AEF01C" w:tentative="1">
      <w:start w:val="1"/>
      <w:numFmt w:val="bullet"/>
      <w:lvlText w:val=""/>
      <w:lvlJc w:val="left"/>
      <w:pPr>
        <w:tabs>
          <w:tab w:val="num" w:pos="2160"/>
        </w:tabs>
        <w:ind w:left="2160" w:hanging="360"/>
      </w:pPr>
      <w:rPr>
        <w:rFonts w:ascii="Symbol" w:hAnsi="Symbol" w:hint="default"/>
      </w:rPr>
    </w:lvl>
    <w:lvl w:ilvl="3" w:tplc="0FD6F4CA" w:tentative="1">
      <w:start w:val="1"/>
      <w:numFmt w:val="bullet"/>
      <w:lvlText w:val=""/>
      <w:lvlJc w:val="left"/>
      <w:pPr>
        <w:tabs>
          <w:tab w:val="num" w:pos="2880"/>
        </w:tabs>
        <w:ind w:left="2880" w:hanging="360"/>
      </w:pPr>
      <w:rPr>
        <w:rFonts w:ascii="Symbol" w:hAnsi="Symbol" w:hint="default"/>
      </w:rPr>
    </w:lvl>
    <w:lvl w:ilvl="4" w:tplc="B35439A0" w:tentative="1">
      <w:start w:val="1"/>
      <w:numFmt w:val="bullet"/>
      <w:lvlText w:val=""/>
      <w:lvlJc w:val="left"/>
      <w:pPr>
        <w:tabs>
          <w:tab w:val="num" w:pos="3600"/>
        </w:tabs>
        <w:ind w:left="3600" w:hanging="360"/>
      </w:pPr>
      <w:rPr>
        <w:rFonts w:ascii="Symbol" w:hAnsi="Symbol" w:hint="default"/>
      </w:rPr>
    </w:lvl>
    <w:lvl w:ilvl="5" w:tplc="2EB2F028" w:tentative="1">
      <w:start w:val="1"/>
      <w:numFmt w:val="bullet"/>
      <w:lvlText w:val=""/>
      <w:lvlJc w:val="left"/>
      <w:pPr>
        <w:tabs>
          <w:tab w:val="num" w:pos="4320"/>
        </w:tabs>
        <w:ind w:left="4320" w:hanging="360"/>
      </w:pPr>
      <w:rPr>
        <w:rFonts w:ascii="Symbol" w:hAnsi="Symbol" w:hint="default"/>
      </w:rPr>
    </w:lvl>
    <w:lvl w:ilvl="6" w:tplc="D89EBCEE" w:tentative="1">
      <w:start w:val="1"/>
      <w:numFmt w:val="bullet"/>
      <w:lvlText w:val=""/>
      <w:lvlJc w:val="left"/>
      <w:pPr>
        <w:tabs>
          <w:tab w:val="num" w:pos="5040"/>
        </w:tabs>
        <w:ind w:left="5040" w:hanging="360"/>
      </w:pPr>
      <w:rPr>
        <w:rFonts w:ascii="Symbol" w:hAnsi="Symbol" w:hint="default"/>
      </w:rPr>
    </w:lvl>
    <w:lvl w:ilvl="7" w:tplc="864A313A" w:tentative="1">
      <w:start w:val="1"/>
      <w:numFmt w:val="bullet"/>
      <w:lvlText w:val=""/>
      <w:lvlJc w:val="left"/>
      <w:pPr>
        <w:tabs>
          <w:tab w:val="num" w:pos="5760"/>
        </w:tabs>
        <w:ind w:left="5760" w:hanging="360"/>
      </w:pPr>
      <w:rPr>
        <w:rFonts w:ascii="Symbol" w:hAnsi="Symbol" w:hint="default"/>
      </w:rPr>
    </w:lvl>
    <w:lvl w:ilvl="8" w:tplc="F454F3B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3833A46"/>
    <w:multiLevelType w:val="multilevel"/>
    <w:tmpl w:val="B540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91B69"/>
    <w:multiLevelType w:val="hybridMultilevel"/>
    <w:tmpl w:val="732CF5B8"/>
    <w:lvl w:ilvl="0" w:tplc="3AF8842A">
      <w:start w:val="1"/>
      <w:numFmt w:val="bullet"/>
      <w:lvlText w:val=""/>
      <w:lvlJc w:val="left"/>
      <w:pPr>
        <w:tabs>
          <w:tab w:val="num" w:pos="720"/>
        </w:tabs>
        <w:ind w:left="720" w:hanging="360"/>
      </w:pPr>
      <w:rPr>
        <w:rFonts w:ascii="Symbol" w:hAnsi="Symbol" w:hint="default"/>
      </w:rPr>
    </w:lvl>
    <w:lvl w:ilvl="1" w:tplc="B7548806" w:tentative="1">
      <w:start w:val="1"/>
      <w:numFmt w:val="bullet"/>
      <w:lvlText w:val=""/>
      <w:lvlJc w:val="left"/>
      <w:pPr>
        <w:tabs>
          <w:tab w:val="num" w:pos="1440"/>
        </w:tabs>
        <w:ind w:left="1440" w:hanging="360"/>
      </w:pPr>
      <w:rPr>
        <w:rFonts w:ascii="Symbol" w:hAnsi="Symbol" w:hint="default"/>
      </w:rPr>
    </w:lvl>
    <w:lvl w:ilvl="2" w:tplc="CFCE9922" w:tentative="1">
      <w:start w:val="1"/>
      <w:numFmt w:val="bullet"/>
      <w:lvlText w:val=""/>
      <w:lvlJc w:val="left"/>
      <w:pPr>
        <w:tabs>
          <w:tab w:val="num" w:pos="2160"/>
        </w:tabs>
        <w:ind w:left="2160" w:hanging="360"/>
      </w:pPr>
      <w:rPr>
        <w:rFonts w:ascii="Symbol" w:hAnsi="Symbol" w:hint="default"/>
      </w:rPr>
    </w:lvl>
    <w:lvl w:ilvl="3" w:tplc="53CE7A8A" w:tentative="1">
      <w:start w:val="1"/>
      <w:numFmt w:val="bullet"/>
      <w:lvlText w:val=""/>
      <w:lvlJc w:val="left"/>
      <w:pPr>
        <w:tabs>
          <w:tab w:val="num" w:pos="2880"/>
        </w:tabs>
        <w:ind w:left="2880" w:hanging="360"/>
      </w:pPr>
      <w:rPr>
        <w:rFonts w:ascii="Symbol" w:hAnsi="Symbol" w:hint="default"/>
      </w:rPr>
    </w:lvl>
    <w:lvl w:ilvl="4" w:tplc="99443428" w:tentative="1">
      <w:start w:val="1"/>
      <w:numFmt w:val="bullet"/>
      <w:lvlText w:val=""/>
      <w:lvlJc w:val="left"/>
      <w:pPr>
        <w:tabs>
          <w:tab w:val="num" w:pos="3600"/>
        </w:tabs>
        <w:ind w:left="3600" w:hanging="360"/>
      </w:pPr>
      <w:rPr>
        <w:rFonts w:ascii="Symbol" w:hAnsi="Symbol" w:hint="default"/>
      </w:rPr>
    </w:lvl>
    <w:lvl w:ilvl="5" w:tplc="659ED016" w:tentative="1">
      <w:start w:val="1"/>
      <w:numFmt w:val="bullet"/>
      <w:lvlText w:val=""/>
      <w:lvlJc w:val="left"/>
      <w:pPr>
        <w:tabs>
          <w:tab w:val="num" w:pos="4320"/>
        </w:tabs>
        <w:ind w:left="4320" w:hanging="360"/>
      </w:pPr>
      <w:rPr>
        <w:rFonts w:ascii="Symbol" w:hAnsi="Symbol" w:hint="default"/>
      </w:rPr>
    </w:lvl>
    <w:lvl w:ilvl="6" w:tplc="808627CA" w:tentative="1">
      <w:start w:val="1"/>
      <w:numFmt w:val="bullet"/>
      <w:lvlText w:val=""/>
      <w:lvlJc w:val="left"/>
      <w:pPr>
        <w:tabs>
          <w:tab w:val="num" w:pos="5040"/>
        </w:tabs>
        <w:ind w:left="5040" w:hanging="360"/>
      </w:pPr>
      <w:rPr>
        <w:rFonts w:ascii="Symbol" w:hAnsi="Symbol" w:hint="default"/>
      </w:rPr>
    </w:lvl>
    <w:lvl w:ilvl="7" w:tplc="C924E212" w:tentative="1">
      <w:start w:val="1"/>
      <w:numFmt w:val="bullet"/>
      <w:lvlText w:val=""/>
      <w:lvlJc w:val="left"/>
      <w:pPr>
        <w:tabs>
          <w:tab w:val="num" w:pos="5760"/>
        </w:tabs>
        <w:ind w:left="5760" w:hanging="360"/>
      </w:pPr>
      <w:rPr>
        <w:rFonts w:ascii="Symbol" w:hAnsi="Symbol" w:hint="default"/>
      </w:rPr>
    </w:lvl>
    <w:lvl w:ilvl="8" w:tplc="61CA12D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E1B"/>
    <w:rsid w:val="00000671"/>
    <w:rsid w:val="000009C3"/>
    <w:rsid w:val="00000B77"/>
    <w:rsid w:val="00002315"/>
    <w:rsid w:val="00002DE7"/>
    <w:rsid w:val="00004333"/>
    <w:rsid w:val="00007D54"/>
    <w:rsid w:val="00010054"/>
    <w:rsid w:val="00010648"/>
    <w:rsid w:val="00016006"/>
    <w:rsid w:val="00016A15"/>
    <w:rsid w:val="000179A8"/>
    <w:rsid w:val="00017C51"/>
    <w:rsid w:val="00020FD2"/>
    <w:rsid w:val="00021D4B"/>
    <w:rsid w:val="00022AD8"/>
    <w:rsid w:val="00026638"/>
    <w:rsid w:val="0002733A"/>
    <w:rsid w:val="00027D87"/>
    <w:rsid w:val="0003227A"/>
    <w:rsid w:val="00034DDD"/>
    <w:rsid w:val="00035FAB"/>
    <w:rsid w:val="00037E67"/>
    <w:rsid w:val="00040CB9"/>
    <w:rsid w:val="00042FD5"/>
    <w:rsid w:val="000430EE"/>
    <w:rsid w:val="0004351C"/>
    <w:rsid w:val="00043AF0"/>
    <w:rsid w:val="00046130"/>
    <w:rsid w:val="00050237"/>
    <w:rsid w:val="00051AAE"/>
    <w:rsid w:val="000528AD"/>
    <w:rsid w:val="0005319A"/>
    <w:rsid w:val="00054BD0"/>
    <w:rsid w:val="00056107"/>
    <w:rsid w:val="000562DB"/>
    <w:rsid w:val="0005698A"/>
    <w:rsid w:val="00056B3A"/>
    <w:rsid w:val="00056F90"/>
    <w:rsid w:val="00057A06"/>
    <w:rsid w:val="00061274"/>
    <w:rsid w:val="0006186C"/>
    <w:rsid w:val="00063A9B"/>
    <w:rsid w:val="00064660"/>
    <w:rsid w:val="00064BE7"/>
    <w:rsid w:val="00065C3C"/>
    <w:rsid w:val="000703E5"/>
    <w:rsid w:val="00070B54"/>
    <w:rsid w:val="00070E4E"/>
    <w:rsid w:val="000723E7"/>
    <w:rsid w:val="000735E1"/>
    <w:rsid w:val="00073893"/>
    <w:rsid w:val="00073DA5"/>
    <w:rsid w:val="0007447A"/>
    <w:rsid w:val="00076545"/>
    <w:rsid w:val="00076913"/>
    <w:rsid w:val="00076C82"/>
    <w:rsid w:val="0007732F"/>
    <w:rsid w:val="000779CC"/>
    <w:rsid w:val="000822EE"/>
    <w:rsid w:val="0008289D"/>
    <w:rsid w:val="00084388"/>
    <w:rsid w:val="00084B59"/>
    <w:rsid w:val="00084E83"/>
    <w:rsid w:val="00086A5F"/>
    <w:rsid w:val="00087E80"/>
    <w:rsid w:val="0009062E"/>
    <w:rsid w:val="00090747"/>
    <w:rsid w:val="00090F0B"/>
    <w:rsid w:val="00091B4F"/>
    <w:rsid w:val="00092387"/>
    <w:rsid w:val="0009267D"/>
    <w:rsid w:val="00092CB2"/>
    <w:rsid w:val="000941B7"/>
    <w:rsid w:val="00094AA4"/>
    <w:rsid w:val="00095285"/>
    <w:rsid w:val="00096489"/>
    <w:rsid w:val="000967E5"/>
    <w:rsid w:val="00097C39"/>
    <w:rsid w:val="000A1CDF"/>
    <w:rsid w:val="000A2C29"/>
    <w:rsid w:val="000A3339"/>
    <w:rsid w:val="000A364F"/>
    <w:rsid w:val="000A3F86"/>
    <w:rsid w:val="000A510B"/>
    <w:rsid w:val="000A58F8"/>
    <w:rsid w:val="000B104C"/>
    <w:rsid w:val="000B1061"/>
    <w:rsid w:val="000B1332"/>
    <w:rsid w:val="000B261D"/>
    <w:rsid w:val="000B33E7"/>
    <w:rsid w:val="000B415F"/>
    <w:rsid w:val="000B7C42"/>
    <w:rsid w:val="000C3CC3"/>
    <w:rsid w:val="000C44DC"/>
    <w:rsid w:val="000C466A"/>
    <w:rsid w:val="000C48C2"/>
    <w:rsid w:val="000C4D4B"/>
    <w:rsid w:val="000C5CA2"/>
    <w:rsid w:val="000C5ED8"/>
    <w:rsid w:val="000C76D8"/>
    <w:rsid w:val="000C7C3B"/>
    <w:rsid w:val="000D003D"/>
    <w:rsid w:val="000D0259"/>
    <w:rsid w:val="000D0657"/>
    <w:rsid w:val="000D32B0"/>
    <w:rsid w:val="000D33EE"/>
    <w:rsid w:val="000D3A30"/>
    <w:rsid w:val="000D4961"/>
    <w:rsid w:val="000D5304"/>
    <w:rsid w:val="000D5498"/>
    <w:rsid w:val="000D6A86"/>
    <w:rsid w:val="000D77FE"/>
    <w:rsid w:val="000D79D7"/>
    <w:rsid w:val="000E0D70"/>
    <w:rsid w:val="000E1164"/>
    <w:rsid w:val="000E134B"/>
    <w:rsid w:val="000E1699"/>
    <w:rsid w:val="000E1DE1"/>
    <w:rsid w:val="000E1E3D"/>
    <w:rsid w:val="000E3697"/>
    <w:rsid w:val="000E369D"/>
    <w:rsid w:val="000E48F3"/>
    <w:rsid w:val="000E68E9"/>
    <w:rsid w:val="000F02B9"/>
    <w:rsid w:val="000F1EE1"/>
    <w:rsid w:val="000F2154"/>
    <w:rsid w:val="000F373F"/>
    <w:rsid w:val="000F6DD4"/>
    <w:rsid w:val="000F6F95"/>
    <w:rsid w:val="000F7DED"/>
    <w:rsid w:val="0010009D"/>
    <w:rsid w:val="00100788"/>
    <w:rsid w:val="00101B67"/>
    <w:rsid w:val="00102B20"/>
    <w:rsid w:val="00102E1B"/>
    <w:rsid w:val="0010395D"/>
    <w:rsid w:val="001042BA"/>
    <w:rsid w:val="001043F6"/>
    <w:rsid w:val="00104DEE"/>
    <w:rsid w:val="001051C7"/>
    <w:rsid w:val="00105E6E"/>
    <w:rsid w:val="00106632"/>
    <w:rsid w:val="00106D06"/>
    <w:rsid w:val="001070BC"/>
    <w:rsid w:val="00107F5D"/>
    <w:rsid w:val="00110CBE"/>
    <w:rsid w:val="00111D2E"/>
    <w:rsid w:val="0011249C"/>
    <w:rsid w:val="00112612"/>
    <w:rsid w:val="00116B97"/>
    <w:rsid w:val="00117753"/>
    <w:rsid w:val="001179DA"/>
    <w:rsid w:val="00117BCD"/>
    <w:rsid w:val="00117ED1"/>
    <w:rsid w:val="00121C64"/>
    <w:rsid w:val="0012341C"/>
    <w:rsid w:val="00123E34"/>
    <w:rsid w:val="00125FC2"/>
    <w:rsid w:val="00130562"/>
    <w:rsid w:val="0013076F"/>
    <w:rsid w:val="00131B58"/>
    <w:rsid w:val="001336C7"/>
    <w:rsid w:val="001349C9"/>
    <w:rsid w:val="00135086"/>
    <w:rsid w:val="0013561C"/>
    <w:rsid w:val="00136C18"/>
    <w:rsid w:val="00142149"/>
    <w:rsid w:val="00142F97"/>
    <w:rsid w:val="00144EAF"/>
    <w:rsid w:val="001459C3"/>
    <w:rsid w:val="00145D82"/>
    <w:rsid w:val="00147B62"/>
    <w:rsid w:val="00147D75"/>
    <w:rsid w:val="001506F2"/>
    <w:rsid w:val="00150DC2"/>
    <w:rsid w:val="001515E7"/>
    <w:rsid w:val="001520F6"/>
    <w:rsid w:val="00154EB2"/>
    <w:rsid w:val="0015530B"/>
    <w:rsid w:val="00155940"/>
    <w:rsid w:val="00156965"/>
    <w:rsid w:val="001572A1"/>
    <w:rsid w:val="001601A9"/>
    <w:rsid w:val="00161F5B"/>
    <w:rsid w:val="00162CB0"/>
    <w:rsid w:val="00163C15"/>
    <w:rsid w:val="00163CD7"/>
    <w:rsid w:val="00164D99"/>
    <w:rsid w:val="001676AA"/>
    <w:rsid w:val="00167E69"/>
    <w:rsid w:val="00170291"/>
    <w:rsid w:val="00170F8C"/>
    <w:rsid w:val="001715A2"/>
    <w:rsid w:val="00171B9A"/>
    <w:rsid w:val="00172A4A"/>
    <w:rsid w:val="001732E5"/>
    <w:rsid w:val="0017343B"/>
    <w:rsid w:val="00173800"/>
    <w:rsid w:val="00173951"/>
    <w:rsid w:val="0017413E"/>
    <w:rsid w:val="00174B61"/>
    <w:rsid w:val="00175825"/>
    <w:rsid w:val="0017702D"/>
    <w:rsid w:val="00177080"/>
    <w:rsid w:val="0018129F"/>
    <w:rsid w:val="00181988"/>
    <w:rsid w:val="00182D10"/>
    <w:rsid w:val="00184876"/>
    <w:rsid w:val="00184B83"/>
    <w:rsid w:val="001866B1"/>
    <w:rsid w:val="00191313"/>
    <w:rsid w:val="001915FE"/>
    <w:rsid w:val="001924A7"/>
    <w:rsid w:val="00194219"/>
    <w:rsid w:val="00194D3C"/>
    <w:rsid w:val="00195390"/>
    <w:rsid w:val="0019632D"/>
    <w:rsid w:val="001A1C9F"/>
    <w:rsid w:val="001A3090"/>
    <w:rsid w:val="001A68E9"/>
    <w:rsid w:val="001A7187"/>
    <w:rsid w:val="001B3B5F"/>
    <w:rsid w:val="001B61B5"/>
    <w:rsid w:val="001B77E6"/>
    <w:rsid w:val="001B7D4A"/>
    <w:rsid w:val="001C0A78"/>
    <w:rsid w:val="001C17F8"/>
    <w:rsid w:val="001C270B"/>
    <w:rsid w:val="001C35A6"/>
    <w:rsid w:val="001C3C09"/>
    <w:rsid w:val="001C3C32"/>
    <w:rsid w:val="001C3FB2"/>
    <w:rsid w:val="001C458C"/>
    <w:rsid w:val="001C5531"/>
    <w:rsid w:val="001C597A"/>
    <w:rsid w:val="001C6FFA"/>
    <w:rsid w:val="001D019C"/>
    <w:rsid w:val="001D046B"/>
    <w:rsid w:val="001D0ED3"/>
    <w:rsid w:val="001D1096"/>
    <w:rsid w:val="001D2527"/>
    <w:rsid w:val="001D5175"/>
    <w:rsid w:val="001D6184"/>
    <w:rsid w:val="001D691D"/>
    <w:rsid w:val="001D6A18"/>
    <w:rsid w:val="001E0A83"/>
    <w:rsid w:val="001E1DCC"/>
    <w:rsid w:val="001E2707"/>
    <w:rsid w:val="001E3375"/>
    <w:rsid w:val="001E3DDF"/>
    <w:rsid w:val="001E616A"/>
    <w:rsid w:val="001E64BB"/>
    <w:rsid w:val="001E74B7"/>
    <w:rsid w:val="001F0542"/>
    <w:rsid w:val="001F1721"/>
    <w:rsid w:val="001F1784"/>
    <w:rsid w:val="001F1D43"/>
    <w:rsid w:val="001F2388"/>
    <w:rsid w:val="001F5035"/>
    <w:rsid w:val="001F60B0"/>
    <w:rsid w:val="001F60D3"/>
    <w:rsid w:val="001F6424"/>
    <w:rsid w:val="001F6764"/>
    <w:rsid w:val="001F6D8B"/>
    <w:rsid w:val="001F702C"/>
    <w:rsid w:val="001F76BB"/>
    <w:rsid w:val="00200037"/>
    <w:rsid w:val="00200656"/>
    <w:rsid w:val="00201A32"/>
    <w:rsid w:val="00201F00"/>
    <w:rsid w:val="00203294"/>
    <w:rsid w:val="00210552"/>
    <w:rsid w:val="00211974"/>
    <w:rsid w:val="002161C5"/>
    <w:rsid w:val="002206D2"/>
    <w:rsid w:val="0022132C"/>
    <w:rsid w:val="002215C0"/>
    <w:rsid w:val="002218A0"/>
    <w:rsid w:val="00222F1B"/>
    <w:rsid w:val="00225260"/>
    <w:rsid w:val="00225CBC"/>
    <w:rsid w:val="002260BC"/>
    <w:rsid w:val="002263D7"/>
    <w:rsid w:val="0022655D"/>
    <w:rsid w:val="00227574"/>
    <w:rsid w:val="0022773B"/>
    <w:rsid w:val="00227B1B"/>
    <w:rsid w:val="00227CB0"/>
    <w:rsid w:val="002300CE"/>
    <w:rsid w:val="00230A5D"/>
    <w:rsid w:val="00230CAF"/>
    <w:rsid w:val="00231F0D"/>
    <w:rsid w:val="00232054"/>
    <w:rsid w:val="0023282B"/>
    <w:rsid w:val="00233467"/>
    <w:rsid w:val="00234799"/>
    <w:rsid w:val="002366FB"/>
    <w:rsid w:val="002369F5"/>
    <w:rsid w:val="00237847"/>
    <w:rsid w:val="00237998"/>
    <w:rsid w:val="00241182"/>
    <w:rsid w:val="00242921"/>
    <w:rsid w:val="00243BA7"/>
    <w:rsid w:val="00245622"/>
    <w:rsid w:val="002456E6"/>
    <w:rsid w:val="00247B87"/>
    <w:rsid w:val="00250F64"/>
    <w:rsid w:val="00251341"/>
    <w:rsid w:val="002528DF"/>
    <w:rsid w:val="002544D4"/>
    <w:rsid w:val="00254780"/>
    <w:rsid w:val="00257698"/>
    <w:rsid w:val="002578BF"/>
    <w:rsid w:val="002608D3"/>
    <w:rsid w:val="00262B2B"/>
    <w:rsid w:val="0026370A"/>
    <w:rsid w:val="00264E0A"/>
    <w:rsid w:val="0026521B"/>
    <w:rsid w:val="0026573E"/>
    <w:rsid w:val="00266B07"/>
    <w:rsid w:val="00270D55"/>
    <w:rsid w:val="00271C53"/>
    <w:rsid w:val="00273EBC"/>
    <w:rsid w:val="0027485C"/>
    <w:rsid w:val="002749BC"/>
    <w:rsid w:val="00274BA3"/>
    <w:rsid w:val="002752BD"/>
    <w:rsid w:val="002756EF"/>
    <w:rsid w:val="00276104"/>
    <w:rsid w:val="00276179"/>
    <w:rsid w:val="00276603"/>
    <w:rsid w:val="00277472"/>
    <w:rsid w:val="002776F1"/>
    <w:rsid w:val="002810DE"/>
    <w:rsid w:val="00281699"/>
    <w:rsid w:val="00281E50"/>
    <w:rsid w:val="00284EF9"/>
    <w:rsid w:val="0028552A"/>
    <w:rsid w:val="00285549"/>
    <w:rsid w:val="00285718"/>
    <w:rsid w:val="00285D68"/>
    <w:rsid w:val="00286DC3"/>
    <w:rsid w:val="00291249"/>
    <w:rsid w:val="00291944"/>
    <w:rsid w:val="00292652"/>
    <w:rsid w:val="00292D7A"/>
    <w:rsid w:val="0029585E"/>
    <w:rsid w:val="002965AD"/>
    <w:rsid w:val="0029667C"/>
    <w:rsid w:val="0029699B"/>
    <w:rsid w:val="00296B68"/>
    <w:rsid w:val="002A0137"/>
    <w:rsid w:val="002A1133"/>
    <w:rsid w:val="002A188E"/>
    <w:rsid w:val="002A1D0B"/>
    <w:rsid w:val="002A29FF"/>
    <w:rsid w:val="002A2B36"/>
    <w:rsid w:val="002A487A"/>
    <w:rsid w:val="002A5293"/>
    <w:rsid w:val="002A5D53"/>
    <w:rsid w:val="002A666A"/>
    <w:rsid w:val="002A6AF0"/>
    <w:rsid w:val="002B0555"/>
    <w:rsid w:val="002B1074"/>
    <w:rsid w:val="002B2C27"/>
    <w:rsid w:val="002B3D18"/>
    <w:rsid w:val="002B3F2A"/>
    <w:rsid w:val="002B3F53"/>
    <w:rsid w:val="002B4A3A"/>
    <w:rsid w:val="002B4F31"/>
    <w:rsid w:val="002B5638"/>
    <w:rsid w:val="002B57BE"/>
    <w:rsid w:val="002B57F4"/>
    <w:rsid w:val="002B5B76"/>
    <w:rsid w:val="002B69D1"/>
    <w:rsid w:val="002B6BC0"/>
    <w:rsid w:val="002B6F44"/>
    <w:rsid w:val="002B7741"/>
    <w:rsid w:val="002B78D4"/>
    <w:rsid w:val="002B7ADA"/>
    <w:rsid w:val="002B7BB9"/>
    <w:rsid w:val="002C036F"/>
    <w:rsid w:val="002C1E32"/>
    <w:rsid w:val="002C4016"/>
    <w:rsid w:val="002C50AB"/>
    <w:rsid w:val="002C5DD0"/>
    <w:rsid w:val="002C6D56"/>
    <w:rsid w:val="002C6DF2"/>
    <w:rsid w:val="002C7B9A"/>
    <w:rsid w:val="002D16A1"/>
    <w:rsid w:val="002D492C"/>
    <w:rsid w:val="002D567F"/>
    <w:rsid w:val="002D5CBB"/>
    <w:rsid w:val="002E13E0"/>
    <w:rsid w:val="002E17D0"/>
    <w:rsid w:val="002E2918"/>
    <w:rsid w:val="002E3104"/>
    <w:rsid w:val="002E44FF"/>
    <w:rsid w:val="002E4AB0"/>
    <w:rsid w:val="002E534F"/>
    <w:rsid w:val="002E5C1A"/>
    <w:rsid w:val="002E5F62"/>
    <w:rsid w:val="002E6014"/>
    <w:rsid w:val="002E63DD"/>
    <w:rsid w:val="002F0749"/>
    <w:rsid w:val="002F17E2"/>
    <w:rsid w:val="002F26CE"/>
    <w:rsid w:val="002F2701"/>
    <w:rsid w:val="002F410A"/>
    <w:rsid w:val="002F440F"/>
    <w:rsid w:val="002F4CC8"/>
    <w:rsid w:val="002F76D1"/>
    <w:rsid w:val="00300CB6"/>
    <w:rsid w:val="00302CC3"/>
    <w:rsid w:val="0030429A"/>
    <w:rsid w:val="00305126"/>
    <w:rsid w:val="003053EB"/>
    <w:rsid w:val="003057A8"/>
    <w:rsid w:val="00305BE2"/>
    <w:rsid w:val="00305D8A"/>
    <w:rsid w:val="00307131"/>
    <w:rsid w:val="003105CE"/>
    <w:rsid w:val="003106B8"/>
    <w:rsid w:val="00311147"/>
    <w:rsid w:val="0031184F"/>
    <w:rsid w:val="00315C8B"/>
    <w:rsid w:val="00316246"/>
    <w:rsid w:val="003163A2"/>
    <w:rsid w:val="00316F58"/>
    <w:rsid w:val="0031721A"/>
    <w:rsid w:val="00320A70"/>
    <w:rsid w:val="00321018"/>
    <w:rsid w:val="00321637"/>
    <w:rsid w:val="00322E42"/>
    <w:rsid w:val="00323945"/>
    <w:rsid w:val="00323F17"/>
    <w:rsid w:val="0032514C"/>
    <w:rsid w:val="00327B19"/>
    <w:rsid w:val="003309AE"/>
    <w:rsid w:val="00331C7A"/>
    <w:rsid w:val="00333FB1"/>
    <w:rsid w:val="00334A85"/>
    <w:rsid w:val="00334CD4"/>
    <w:rsid w:val="00337226"/>
    <w:rsid w:val="00337434"/>
    <w:rsid w:val="003377E9"/>
    <w:rsid w:val="0034010F"/>
    <w:rsid w:val="003403EF"/>
    <w:rsid w:val="00340E1B"/>
    <w:rsid w:val="00341731"/>
    <w:rsid w:val="00341A1D"/>
    <w:rsid w:val="00342468"/>
    <w:rsid w:val="003434E0"/>
    <w:rsid w:val="00343DA5"/>
    <w:rsid w:val="0034526B"/>
    <w:rsid w:val="003452E8"/>
    <w:rsid w:val="003467AF"/>
    <w:rsid w:val="0034715E"/>
    <w:rsid w:val="00347C75"/>
    <w:rsid w:val="00352278"/>
    <w:rsid w:val="00352961"/>
    <w:rsid w:val="00355B5E"/>
    <w:rsid w:val="0035670C"/>
    <w:rsid w:val="00357999"/>
    <w:rsid w:val="00360A52"/>
    <w:rsid w:val="00362FA2"/>
    <w:rsid w:val="00364604"/>
    <w:rsid w:val="00364753"/>
    <w:rsid w:val="00364AF6"/>
    <w:rsid w:val="00365450"/>
    <w:rsid w:val="00367B29"/>
    <w:rsid w:val="003723C0"/>
    <w:rsid w:val="003728D6"/>
    <w:rsid w:val="0037354A"/>
    <w:rsid w:val="003738C8"/>
    <w:rsid w:val="00375134"/>
    <w:rsid w:val="00376FCC"/>
    <w:rsid w:val="003806F8"/>
    <w:rsid w:val="0038206B"/>
    <w:rsid w:val="00382746"/>
    <w:rsid w:val="00382796"/>
    <w:rsid w:val="003848E4"/>
    <w:rsid w:val="00384A08"/>
    <w:rsid w:val="00386888"/>
    <w:rsid w:val="00387F6E"/>
    <w:rsid w:val="00390618"/>
    <w:rsid w:val="003918AD"/>
    <w:rsid w:val="003919DA"/>
    <w:rsid w:val="003927FD"/>
    <w:rsid w:val="003928C8"/>
    <w:rsid w:val="00393975"/>
    <w:rsid w:val="00395412"/>
    <w:rsid w:val="00395B70"/>
    <w:rsid w:val="00396C53"/>
    <w:rsid w:val="003A01DD"/>
    <w:rsid w:val="003A0311"/>
    <w:rsid w:val="003A43C5"/>
    <w:rsid w:val="003A7FA7"/>
    <w:rsid w:val="003B07AA"/>
    <w:rsid w:val="003B0EF8"/>
    <w:rsid w:val="003B122A"/>
    <w:rsid w:val="003B1845"/>
    <w:rsid w:val="003B1E26"/>
    <w:rsid w:val="003B2977"/>
    <w:rsid w:val="003B4D6B"/>
    <w:rsid w:val="003B5B04"/>
    <w:rsid w:val="003C1380"/>
    <w:rsid w:val="003C3664"/>
    <w:rsid w:val="003C5A31"/>
    <w:rsid w:val="003C5C1C"/>
    <w:rsid w:val="003C61B6"/>
    <w:rsid w:val="003C6E58"/>
    <w:rsid w:val="003D1D53"/>
    <w:rsid w:val="003D33E4"/>
    <w:rsid w:val="003D3583"/>
    <w:rsid w:val="003D3FB0"/>
    <w:rsid w:val="003E0DB2"/>
    <w:rsid w:val="003E1777"/>
    <w:rsid w:val="003E4D14"/>
    <w:rsid w:val="003E4EC5"/>
    <w:rsid w:val="003E6984"/>
    <w:rsid w:val="003E6F27"/>
    <w:rsid w:val="003F049E"/>
    <w:rsid w:val="003F0B47"/>
    <w:rsid w:val="003F136A"/>
    <w:rsid w:val="003F17AE"/>
    <w:rsid w:val="003F1F95"/>
    <w:rsid w:val="003F2051"/>
    <w:rsid w:val="003F2C5E"/>
    <w:rsid w:val="003F3584"/>
    <w:rsid w:val="003F426C"/>
    <w:rsid w:val="003F49E1"/>
    <w:rsid w:val="003F571D"/>
    <w:rsid w:val="003F5EFC"/>
    <w:rsid w:val="003F6323"/>
    <w:rsid w:val="003F67DE"/>
    <w:rsid w:val="00401ED8"/>
    <w:rsid w:val="0040243D"/>
    <w:rsid w:val="00402961"/>
    <w:rsid w:val="00404A75"/>
    <w:rsid w:val="00405E55"/>
    <w:rsid w:val="0040652A"/>
    <w:rsid w:val="00407894"/>
    <w:rsid w:val="00407ADB"/>
    <w:rsid w:val="00410679"/>
    <w:rsid w:val="004121B1"/>
    <w:rsid w:val="00412C9D"/>
    <w:rsid w:val="00412FB9"/>
    <w:rsid w:val="004131A3"/>
    <w:rsid w:val="00414D6D"/>
    <w:rsid w:val="00416400"/>
    <w:rsid w:val="00416F80"/>
    <w:rsid w:val="00420566"/>
    <w:rsid w:val="00423196"/>
    <w:rsid w:val="00423911"/>
    <w:rsid w:val="004245DF"/>
    <w:rsid w:val="00424782"/>
    <w:rsid w:val="00425EA8"/>
    <w:rsid w:val="00426C90"/>
    <w:rsid w:val="00427745"/>
    <w:rsid w:val="00430897"/>
    <w:rsid w:val="00430E40"/>
    <w:rsid w:val="00432EDC"/>
    <w:rsid w:val="004368C8"/>
    <w:rsid w:val="004406FA"/>
    <w:rsid w:val="004414A7"/>
    <w:rsid w:val="00441D1B"/>
    <w:rsid w:val="00442936"/>
    <w:rsid w:val="00443297"/>
    <w:rsid w:val="004443C0"/>
    <w:rsid w:val="00444491"/>
    <w:rsid w:val="00447166"/>
    <w:rsid w:val="00447A22"/>
    <w:rsid w:val="00450936"/>
    <w:rsid w:val="00453B1D"/>
    <w:rsid w:val="004541EE"/>
    <w:rsid w:val="00455CA3"/>
    <w:rsid w:val="00455F79"/>
    <w:rsid w:val="0045677B"/>
    <w:rsid w:val="0045778E"/>
    <w:rsid w:val="00460382"/>
    <w:rsid w:val="004611A6"/>
    <w:rsid w:val="00461CE0"/>
    <w:rsid w:val="00462AEE"/>
    <w:rsid w:val="00463FF3"/>
    <w:rsid w:val="004641C6"/>
    <w:rsid w:val="004648AF"/>
    <w:rsid w:val="00464EEB"/>
    <w:rsid w:val="004659D2"/>
    <w:rsid w:val="00467944"/>
    <w:rsid w:val="00470AEF"/>
    <w:rsid w:val="00470D75"/>
    <w:rsid w:val="00470DB1"/>
    <w:rsid w:val="00471065"/>
    <w:rsid w:val="00471079"/>
    <w:rsid w:val="00471313"/>
    <w:rsid w:val="00471FD9"/>
    <w:rsid w:val="0047308B"/>
    <w:rsid w:val="004733C2"/>
    <w:rsid w:val="004747F6"/>
    <w:rsid w:val="00474ADF"/>
    <w:rsid w:val="00475287"/>
    <w:rsid w:val="00475322"/>
    <w:rsid w:val="00475E93"/>
    <w:rsid w:val="004774C9"/>
    <w:rsid w:val="00477E61"/>
    <w:rsid w:val="00480D53"/>
    <w:rsid w:val="00480E8A"/>
    <w:rsid w:val="004817C4"/>
    <w:rsid w:val="004827F6"/>
    <w:rsid w:val="004852E7"/>
    <w:rsid w:val="004859E1"/>
    <w:rsid w:val="00485D6D"/>
    <w:rsid w:val="00486C22"/>
    <w:rsid w:val="00491B1F"/>
    <w:rsid w:val="0049344D"/>
    <w:rsid w:val="00493F61"/>
    <w:rsid w:val="00494382"/>
    <w:rsid w:val="0049567F"/>
    <w:rsid w:val="004961F3"/>
    <w:rsid w:val="0049660C"/>
    <w:rsid w:val="004A1DDD"/>
    <w:rsid w:val="004A48C3"/>
    <w:rsid w:val="004A5972"/>
    <w:rsid w:val="004A5AC4"/>
    <w:rsid w:val="004A7015"/>
    <w:rsid w:val="004B1452"/>
    <w:rsid w:val="004B197C"/>
    <w:rsid w:val="004B1D32"/>
    <w:rsid w:val="004B22EF"/>
    <w:rsid w:val="004B2357"/>
    <w:rsid w:val="004B2D14"/>
    <w:rsid w:val="004B3C11"/>
    <w:rsid w:val="004B481F"/>
    <w:rsid w:val="004B55C1"/>
    <w:rsid w:val="004B64CB"/>
    <w:rsid w:val="004B6E69"/>
    <w:rsid w:val="004B7164"/>
    <w:rsid w:val="004B7858"/>
    <w:rsid w:val="004B78CA"/>
    <w:rsid w:val="004C2916"/>
    <w:rsid w:val="004C3321"/>
    <w:rsid w:val="004C4351"/>
    <w:rsid w:val="004C6608"/>
    <w:rsid w:val="004C724D"/>
    <w:rsid w:val="004C7E6A"/>
    <w:rsid w:val="004D1481"/>
    <w:rsid w:val="004D1F78"/>
    <w:rsid w:val="004D3618"/>
    <w:rsid w:val="004D483C"/>
    <w:rsid w:val="004D4FE4"/>
    <w:rsid w:val="004D63C8"/>
    <w:rsid w:val="004D6404"/>
    <w:rsid w:val="004D6F25"/>
    <w:rsid w:val="004E049D"/>
    <w:rsid w:val="004E0E96"/>
    <w:rsid w:val="004E13A5"/>
    <w:rsid w:val="004E177A"/>
    <w:rsid w:val="004E24E5"/>
    <w:rsid w:val="004E379A"/>
    <w:rsid w:val="004E3ABE"/>
    <w:rsid w:val="004E3E80"/>
    <w:rsid w:val="004E4493"/>
    <w:rsid w:val="004E588A"/>
    <w:rsid w:val="004E6DC2"/>
    <w:rsid w:val="004E70B4"/>
    <w:rsid w:val="004E7FCC"/>
    <w:rsid w:val="004F5479"/>
    <w:rsid w:val="004F7D7A"/>
    <w:rsid w:val="005005B4"/>
    <w:rsid w:val="00501A9D"/>
    <w:rsid w:val="00501DFD"/>
    <w:rsid w:val="00502CBA"/>
    <w:rsid w:val="00504587"/>
    <w:rsid w:val="00507F77"/>
    <w:rsid w:val="0051004A"/>
    <w:rsid w:val="00510C2C"/>
    <w:rsid w:val="00510D95"/>
    <w:rsid w:val="0051194A"/>
    <w:rsid w:val="00513D4B"/>
    <w:rsid w:val="00514124"/>
    <w:rsid w:val="00514993"/>
    <w:rsid w:val="005155AD"/>
    <w:rsid w:val="00515E36"/>
    <w:rsid w:val="005164AC"/>
    <w:rsid w:val="005169A6"/>
    <w:rsid w:val="00521574"/>
    <w:rsid w:val="00522DB3"/>
    <w:rsid w:val="005239E1"/>
    <w:rsid w:val="00524BFC"/>
    <w:rsid w:val="00525038"/>
    <w:rsid w:val="0052688D"/>
    <w:rsid w:val="0052690E"/>
    <w:rsid w:val="00527282"/>
    <w:rsid w:val="00527379"/>
    <w:rsid w:val="00527F9A"/>
    <w:rsid w:val="005305A6"/>
    <w:rsid w:val="0053213F"/>
    <w:rsid w:val="005343BD"/>
    <w:rsid w:val="005344EA"/>
    <w:rsid w:val="00534546"/>
    <w:rsid w:val="005348CF"/>
    <w:rsid w:val="00534EDB"/>
    <w:rsid w:val="00535F12"/>
    <w:rsid w:val="00536267"/>
    <w:rsid w:val="00537863"/>
    <w:rsid w:val="005417FD"/>
    <w:rsid w:val="00542D57"/>
    <w:rsid w:val="00543C18"/>
    <w:rsid w:val="0054510D"/>
    <w:rsid w:val="0054750A"/>
    <w:rsid w:val="005511AB"/>
    <w:rsid w:val="005514A0"/>
    <w:rsid w:val="00552BB5"/>
    <w:rsid w:val="005545CE"/>
    <w:rsid w:val="00554F75"/>
    <w:rsid w:val="005550F9"/>
    <w:rsid w:val="0055612F"/>
    <w:rsid w:val="005571C9"/>
    <w:rsid w:val="00557312"/>
    <w:rsid w:val="0055744C"/>
    <w:rsid w:val="0055797F"/>
    <w:rsid w:val="00562842"/>
    <w:rsid w:val="0056299E"/>
    <w:rsid w:val="0056330B"/>
    <w:rsid w:val="0056341D"/>
    <w:rsid w:val="0056363F"/>
    <w:rsid w:val="0056369A"/>
    <w:rsid w:val="005637B6"/>
    <w:rsid w:val="0056410A"/>
    <w:rsid w:val="005649D1"/>
    <w:rsid w:val="00565CF6"/>
    <w:rsid w:val="00566A0A"/>
    <w:rsid w:val="00567116"/>
    <w:rsid w:val="00567F18"/>
    <w:rsid w:val="0057065F"/>
    <w:rsid w:val="00572688"/>
    <w:rsid w:val="00573B05"/>
    <w:rsid w:val="005743CF"/>
    <w:rsid w:val="00575754"/>
    <w:rsid w:val="00575A9C"/>
    <w:rsid w:val="00576701"/>
    <w:rsid w:val="00577AE1"/>
    <w:rsid w:val="00580014"/>
    <w:rsid w:val="00581B05"/>
    <w:rsid w:val="005821EF"/>
    <w:rsid w:val="00582CCE"/>
    <w:rsid w:val="00583F67"/>
    <w:rsid w:val="005840F7"/>
    <w:rsid w:val="00584388"/>
    <w:rsid w:val="005852C5"/>
    <w:rsid w:val="005854EF"/>
    <w:rsid w:val="00586B4A"/>
    <w:rsid w:val="00587027"/>
    <w:rsid w:val="00587561"/>
    <w:rsid w:val="005907D9"/>
    <w:rsid w:val="00592109"/>
    <w:rsid w:val="005930F6"/>
    <w:rsid w:val="00594F55"/>
    <w:rsid w:val="0059596B"/>
    <w:rsid w:val="00595C7F"/>
    <w:rsid w:val="005961DF"/>
    <w:rsid w:val="00596792"/>
    <w:rsid w:val="0059741A"/>
    <w:rsid w:val="005A0339"/>
    <w:rsid w:val="005A1EA3"/>
    <w:rsid w:val="005A3CDC"/>
    <w:rsid w:val="005A458B"/>
    <w:rsid w:val="005A4BCE"/>
    <w:rsid w:val="005B35B5"/>
    <w:rsid w:val="005B43B6"/>
    <w:rsid w:val="005B4D75"/>
    <w:rsid w:val="005B5108"/>
    <w:rsid w:val="005B6473"/>
    <w:rsid w:val="005C229B"/>
    <w:rsid w:val="005C2ACF"/>
    <w:rsid w:val="005C2B86"/>
    <w:rsid w:val="005C3397"/>
    <w:rsid w:val="005C342D"/>
    <w:rsid w:val="005C6543"/>
    <w:rsid w:val="005C71DA"/>
    <w:rsid w:val="005D46D8"/>
    <w:rsid w:val="005D4FA0"/>
    <w:rsid w:val="005D5CB6"/>
    <w:rsid w:val="005D6219"/>
    <w:rsid w:val="005D64B0"/>
    <w:rsid w:val="005E12BD"/>
    <w:rsid w:val="005E1514"/>
    <w:rsid w:val="005E2150"/>
    <w:rsid w:val="005E5822"/>
    <w:rsid w:val="005E61A6"/>
    <w:rsid w:val="005E61D7"/>
    <w:rsid w:val="005E774D"/>
    <w:rsid w:val="005F0AA5"/>
    <w:rsid w:val="005F2634"/>
    <w:rsid w:val="005F2EA4"/>
    <w:rsid w:val="005F2F0E"/>
    <w:rsid w:val="005F3814"/>
    <w:rsid w:val="005F3A4A"/>
    <w:rsid w:val="005F4A6A"/>
    <w:rsid w:val="005F52B6"/>
    <w:rsid w:val="005F6893"/>
    <w:rsid w:val="005F7A8A"/>
    <w:rsid w:val="005F7FE1"/>
    <w:rsid w:val="00600671"/>
    <w:rsid w:val="00600911"/>
    <w:rsid w:val="00600C2F"/>
    <w:rsid w:val="00601438"/>
    <w:rsid w:val="006014AF"/>
    <w:rsid w:val="006029A0"/>
    <w:rsid w:val="00611DCE"/>
    <w:rsid w:val="00611E21"/>
    <w:rsid w:val="00611F47"/>
    <w:rsid w:val="00612E44"/>
    <w:rsid w:val="006132D9"/>
    <w:rsid w:val="0061359D"/>
    <w:rsid w:val="00613C60"/>
    <w:rsid w:val="00613E09"/>
    <w:rsid w:val="0061450D"/>
    <w:rsid w:val="00614649"/>
    <w:rsid w:val="00614F4E"/>
    <w:rsid w:val="006157C4"/>
    <w:rsid w:val="00615823"/>
    <w:rsid w:val="006165AA"/>
    <w:rsid w:val="006169B8"/>
    <w:rsid w:val="00620667"/>
    <w:rsid w:val="00621153"/>
    <w:rsid w:val="00623AA9"/>
    <w:rsid w:val="006242BB"/>
    <w:rsid w:val="006255F7"/>
    <w:rsid w:val="00625920"/>
    <w:rsid w:val="00625AFB"/>
    <w:rsid w:val="00625CE9"/>
    <w:rsid w:val="00625D2B"/>
    <w:rsid w:val="00626F17"/>
    <w:rsid w:val="006270F2"/>
    <w:rsid w:val="00630841"/>
    <w:rsid w:val="0063295F"/>
    <w:rsid w:val="006335EB"/>
    <w:rsid w:val="00634749"/>
    <w:rsid w:val="00635975"/>
    <w:rsid w:val="00636169"/>
    <w:rsid w:val="00636B69"/>
    <w:rsid w:val="0063752F"/>
    <w:rsid w:val="00640876"/>
    <w:rsid w:val="006420F7"/>
    <w:rsid w:val="006426C2"/>
    <w:rsid w:val="00643040"/>
    <w:rsid w:val="00643EDD"/>
    <w:rsid w:val="006457A0"/>
    <w:rsid w:val="00645DCB"/>
    <w:rsid w:val="0064660E"/>
    <w:rsid w:val="00646ACC"/>
    <w:rsid w:val="00647715"/>
    <w:rsid w:val="00650157"/>
    <w:rsid w:val="00650FEB"/>
    <w:rsid w:val="00651357"/>
    <w:rsid w:val="00652799"/>
    <w:rsid w:val="006531CB"/>
    <w:rsid w:val="00654253"/>
    <w:rsid w:val="00656F5E"/>
    <w:rsid w:val="006604B9"/>
    <w:rsid w:val="006607BA"/>
    <w:rsid w:val="006633C5"/>
    <w:rsid w:val="0066404D"/>
    <w:rsid w:val="00665746"/>
    <w:rsid w:val="00666830"/>
    <w:rsid w:val="006669D8"/>
    <w:rsid w:val="0066795B"/>
    <w:rsid w:val="006707BE"/>
    <w:rsid w:val="00670A88"/>
    <w:rsid w:val="006758EB"/>
    <w:rsid w:val="00676A35"/>
    <w:rsid w:val="00676D72"/>
    <w:rsid w:val="00680E72"/>
    <w:rsid w:val="00681055"/>
    <w:rsid w:val="00681A66"/>
    <w:rsid w:val="00682B54"/>
    <w:rsid w:val="00682B66"/>
    <w:rsid w:val="00683FCB"/>
    <w:rsid w:val="0068499B"/>
    <w:rsid w:val="00685C10"/>
    <w:rsid w:val="0069025F"/>
    <w:rsid w:val="0069037E"/>
    <w:rsid w:val="00690EE2"/>
    <w:rsid w:val="006918F2"/>
    <w:rsid w:val="00691FCC"/>
    <w:rsid w:val="00693EE3"/>
    <w:rsid w:val="0069446E"/>
    <w:rsid w:val="00695C39"/>
    <w:rsid w:val="00696153"/>
    <w:rsid w:val="00696C5F"/>
    <w:rsid w:val="006A0199"/>
    <w:rsid w:val="006A3099"/>
    <w:rsid w:val="006A3E09"/>
    <w:rsid w:val="006A5104"/>
    <w:rsid w:val="006A7A06"/>
    <w:rsid w:val="006B02F0"/>
    <w:rsid w:val="006B0DA8"/>
    <w:rsid w:val="006B1D8A"/>
    <w:rsid w:val="006B1FF4"/>
    <w:rsid w:val="006B2218"/>
    <w:rsid w:val="006B2AA6"/>
    <w:rsid w:val="006B3623"/>
    <w:rsid w:val="006B3908"/>
    <w:rsid w:val="006B407B"/>
    <w:rsid w:val="006B5094"/>
    <w:rsid w:val="006B511A"/>
    <w:rsid w:val="006B5C4B"/>
    <w:rsid w:val="006B7756"/>
    <w:rsid w:val="006C41E2"/>
    <w:rsid w:val="006C5F20"/>
    <w:rsid w:val="006C7388"/>
    <w:rsid w:val="006C78DA"/>
    <w:rsid w:val="006D17F3"/>
    <w:rsid w:val="006D2389"/>
    <w:rsid w:val="006D277C"/>
    <w:rsid w:val="006D4B83"/>
    <w:rsid w:val="006D5662"/>
    <w:rsid w:val="006D6450"/>
    <w:rsid w:val="006E0C16"/>
    <w:rsid w:val="006E14FE"/>
    <w:rsid w:val="006E2AFE"/>
    <w:rsid w:val="006E333A"/>
    <w:rsid w:val="006E3D2F"/>
    <w:rsid w:val="006E50CD"/>
    <w:rsid w:val="006E53E2"/>
    <w:rsid w:val="006E5471"/>
    <w:rsid w:val="006F175E"/>
    <w:rsid w:val="006F2049"/>
    <w:rsid w:val="006F3013"/>
    <w:rsid w:val="006F4CEC"/>
    <w:rsid w:val="006F607B"/>
    <w:rsid w:val="006F6DF9"/>
    <w:rsid w:val="00701784"/>
    <w:rsid w:val="00701C1A"/>
    <w:rsid w:val="00702813"/>
    <w:rsid w:val="0070321F"/>
    <w:rsid w:val="00704081"/>
    <w:rsid w:val="007041F2"/>
    <w:rsid w:val="0070613F"/>
    <w:rsid w:val="00706741"/>
    <w:rsid w:val="00706EA3"/>
    <w:rsid w:val="007074A5"/>
    <w:rsid w:val="007074BD"/>
    <w:rsid w:val="0070762A"/>
    <w:rsid w:val="00707934"/>
    <w:rsid w:val="00710DB0"/>
    <w:rsid w:val="00711668"/>
    <w:rsid w:val="00711841"/>
    <w:rsid w:val="0071188B"/>
    <w:rsid w:val="0071196A"/>
    <w:rsid w:val="00711AED"/>
    <w:rsid w:val="00711C83"/>
    <w:rsid w:val="0071277B"/>
    <w:rsid w:val="0071304D"/>
    <w:rsid w:val="00713F40"/>
    <w:rsid w:val="00714204"/>
    <w:rsid w:val="007155F4"/>
    <w:rsid w:val="00717A9E"/>
    <w:rsid w:val="00721111"/>
    <w:rsid w:val="00722665"/>
    <w:rsid w:val="00722D6F"/>
    <w:rsid w:val="00722D98"/>
    <w:rsid w:val="00725B45"/>
    <w:rsid w:val="00725C8A"/>
    <w:rsid w:val="007262FC"/>
    <w:rsid w:val="00727777"/>
    <w:rsid w:val="00732823"/>
    <w:rsid w:val="00733079"/>
    <w:rsid w:val="00733B0E"/>
    <w:rsid w:val="007343F2"/>
    <w:rsid w:val="00734ED2"/>
    <w:rsid w:val="007361E5"/>
    <w:rsid w:val="0073659E"/>
    <w:rsid w:val="007371A9"/>
    <w:rsid w:val="007403C9"/>
    <w:rsid w:val="00740F0C"/>
    <w:rsid w:val="007411E4"/>
    <w:rsid w:val="00741638"/>
    <w:rsid w:val="00742F8A"/>
    <w:rsid w:val="00743207"/>
    <w:rsid w:val="00744679"/>
    <w:rsid w:val="007447FE"/>
    <w:rsid w:val="007449F4"/>
    <w:rsid w:val="00745C66"/>
    <w:rsid w:val="00750AB0"/>
    <w:rsid w:val="00752939"/>
    <w:rsid w:val="0075330E"/>
    <w:rsid w:val="007543B5"/>
    <w:rsid w:val="007548B9"/>
    <w:rsid w:val="00757705"/>
    <w:rsid w:val="007578C9"/>
    <w:rsid w:val="00760085"/>
    <w:rsid w:val="007601B9"/>
    <w:rsid w:val="00765432"/>
    <w:rsid w:val="007657BE"/>
    <w:rsid w:val="007667C5"/>
    <w:rsid w:val="00770170"/>
    <w:rsid w:val="00771304"/>
    <w:rsid w:val="00771F78"/>
    <w:rsid w:val="00773257"/>
    <w:rsid w:val="007753D2"/>
    <w:rsid w:val="00775C2B"/>
    <w:rsid w:val="0077751B"/>
    <w:rsid w:val="0078154E"/>
    <w:rsid w:val="007826F0"/>
    <w:rsid w:val="00782929"/>
    <w:rsid w:val="0078396E"/>
    <w:rsid w:val="00783C06"/>
    <w:rsid w:val="00783C74"/>
    <w:rsid w:val="0078475B"/>
    <w:rsid w:val="00785803"/>
    <w:rsid w:val="00787436"/>
    <w:rsid w:val="007875A4"/>
    <w:rsid w:val="00787635"/>
    <w:rsid w:val="007878B9"/>
    <w:rsid w:val="007906B9"/>
    <w:rsid w:val="00791E12"/>
    <w:rsid w:val="0079249C"/>
    <w:rsid w:val="00792721"/>
    <w:rsid w:val="007941E7"/>
    <w:rsid w:val="007A0521"/>
    <w:rsid w:val="007A0FBC"/>
    <w:rsid w:val="007A1BF7"/>
    <w:rsid w:val="007A1CE0"/>
    <w:rsid w:val="007A1FE4"/>
    <w:rsid w:val="007A35E7"/>
    <w:rsid w:val="007A3963"/>
    <w:rsid w:val="007A4273"/>
    <w:rsid w:val="007A5FE9"/>
    <w:rsid w:val="007A7E84"/>
    <w:rsid w:val="007B01B3"/>
    <w:rsid w:val="007B314F"/>
    <w:rsid w:val="007B4D1A"/>
    <w:rsid w:val="007B6072"/>
    <w:rsid w:val="007B60FB"/>
    <w:rsid w:val="007B7BBA"/>
    <w:rsid w:val="007C0180"/>
    <w:rsid w:val="007C1407"/>
    <w:rsid w:val="007C1842"/>
    <w:rsid w:val="007C1EC8"/>
    <w:rsid w:val="007C273F"/>
    <w:rsid w:val="007C3E11"/>
    <w:rsid w:val="007C60B2"/>
    <w:rsid w:val="007C6328"/>
    <w:rsid w:val="007C776C"/>
    <w:rsid w:val="007C7A2C"/>
    <w:rsid w:val="007C7E41"/>
    <w:rsid w:val="007D1230"/>
    <w:rsid w:val="007D18E8"/>
    <w:rsid w:val="007D246A"/>
    <w:rsid w:val="007D2F48"/>
    <w:rsid w:val="007D3061"/>
    <w:rsid w:val="007D408B"/>
    <w:rsid w:val="007D601D"/>
    <w:rsid w:val="007D6137"/>
    <w:rsid w:val="007D620B"/>
    <w:rsid w:val="007D6614"/>
    <w:rsid w:val="007D72C6"/>
    <w:rsid w:val="007D7AB2"/>
    <w:rsid w:val="007D7C4C"/>
    <w:rsid w:val="007E01BE"/>
    <w:rsid w:val="007E1448"/>
    <w:rsid w:val="007E186C"/>
    <w:rsid w:val="007E237F"/>
    <w:rsid w:val="007E29C6"/>
    <w:rsid w:val="007E2E8A"/>
    <w:rsid w:val="007E312F"/>
    <w:rsid w:val="007E4820"/>
    <w:rsid w:val="007E4CF0"/>
    <w:rsid w:val="007E5A5B"/>
    <w:rsid w:val="007E6D08"/>
    <w:rsid w:val="007E7197"/>
    <w:rsid w:val="007E75C6"/>
    <w:rsid w:val="007F0349"/>
    <w:rsid w:val="007F0E1C"/>
    <w:rsid w:val="007F0F2E"/>
    <w:rsid w:val="007F3AC7"/>
    <w:rsid w:val="007F3C57"/>
    <w:rsid w:val="007F4887"/>
    <w:rsid w:val="007F5B02"/>
    <w:rsid w:val="007F5B41"/>
    <w:rsid w:val="007F6ADA"/>
    <w:rsid w:val="00800033"/>
    <w:rsid w:val="00801702"/>
    <w:rsid w:val="00801BC0"/>
    <w:rsid w:val="00802440"/>
    <w:rsid w:val="00802A47"/>
    <w:rsid w:val="00803D23"/>
    <w:rsid w:val="00804687"/>
    <w:rsid w:val="00805965"/>
    <w:rsid w:val="00806CFB"/>
    <w:rsid w:val="00807E15"/>
    <w:rsid w:val="00810764"/>
    <w:rsid w:val="00813F29"/>
    <w:rsid w:val="008149A8"/>
    <w:rsid w:val="00814C6F"/>
    <w:rsid w:val="00815D5D"/>
    <w:rsid w:val="0081775D"/>
    <w:rsid w:val="0082232A"/>
    <w:rsid w:val="00823699"/>
    <w:rsid w:val="008251D0"/>
    <w:rsid w:val="0082542F"/>
    <w:rsid w:val="00825963"/>
    <w:rsid w:val="00826B8B"/>
    <w:rsid w:val="00826FA5"/>
    <w:rsid w:val="008301B0"/>
    <w:rsid w:val="00830744"/>
    <w:rsid w:val="00831699"/>
    <w:rsid w:val="00831E1E"/>
    <w:rsid w:val="00831FC1"/>
    <w:rsid w:val="00832C97"/>
    <w:rsid w:val="00833384"/>
    <w:rsid w:val="00833A1A"/>
    <w:rsid w:val="0084012D"/>
    <w:rsid w:val="00840522"/>
    <w:rsid w:val="00842597"/>
    <w:rsid w:val="008425B3"/>
    <w:rsid w:val="008429C9"/>
    <w:rsid w:val="008432BC"/>
    <w:rsid w:val="00845FD6"/>
    <w:rsid w:val="00846A36"/>
    <w:rsid w:val="008527FB"/>
    <w:rsid w:val="00852884"/>
    <w:rsid w:val="00852EF1"/>
    <w:rsid w:val="008534C7"/>
    <w:rsid w:val="0085354F"/>
    <w:rsid w:val="00853E8D"/>
    <w:rsid w:val="00854897"/>
    <w:rsid w:val="00854E2B"/>
    <w:rsid w:val="00855619"/>
    <w:rsid w:val="00856EA9"/>
    <w:rsid w:val="00857602"/>
    <w:rsid w:val="0086015A"/>
    <w:rsid w:val="00860D9F"/>
    <w:rsid w:val="00861398"/>
    <w:rsid w:val="00862488"/>
    <w:rsid w:val="00862521"/>
    <w:rsid w:val="0086319B"/>
    <w:rsid w:val="0086472B"/>
    <w:rsid w:val="00864F70"/>
    <w:rsid w:val="008677F9"/>
    <w:rsid w:val="008678A1"/>
    <w:rsid w:val="008678C9"/>
    <w:rsid w:val="008712C9"/>
    <w:rsid w:val="00875103"/>
    <w:rsid w:val="00880115"/>
    <w:rsid w:val="0088087D"/>
    <w:rsid w:val="008811F3"/>
    <w:rsid w:val="00881BAC"/>
    <w:rsid w:val="00881D77"/>
    <w:rsid w:val="00883A20"/>
    <w:rsid w:val="0088469E"/>
    <w:rsid w:val="008846EE"/>
    <w:rsid w:val="00884722"/>
    <w:rsid w:val="00885CF1"/>
    <w:rsid w:val="00887270"/>
    <w:rsid w:val="00887B15"/>
    <w:rsid w:val="00890B0A"/>
    <w:rsid w:val="00891632"/>
    <w:rsid w:val="00891A9B"/>
    <w:rsid w:val="0089268E"/>
    <w:rsid w:val="0089287C"/>
    <w:rsid w:val="00893F1A"/>
    <w:rsid w:val="008946E6"/>
    <w:rsid w:val="00894FAA"/>
    <w:rsid w:val="00894FBF"/>
    <w:rsid w:val="00894FDE"/>
    <w:rsid w:val="00896D42"/>
    <w:rsid w:val="00896D74"/>
    <w:rsid w:val="008A0B1B"/>
    <w:rsid w:val="008A116E"/>
    <w:rsid w:val="008A2485"/>
    <w:rsid w:val="008A2F48"/>
    <w:rsid w:val="008A3DBD"/>
    <w:rsid w:val="008A44F4"/>
    <w:rsid w:val="008A5489"/>
    <w:rsid w:val="008A649B"/>
    <w:rsid w:val="008A66F2"/>
    <w:rsid w:val="008A6D51"/>
    <w:rsid w:val="008A7819"/>
    <w:rsid w:val="008A7DD1"/>
    <w:rsid w:val="008B0933"/>
    <w:rsid w:val="008B2B6D"/>
    <w:rsid w:val="008B2E21"/>
    <w:rsid w:val="008B51EB"/>
    <w:rsid w:val="008B55BC"/>
    <w:rsid w:val="008B62ED"/>
    <w:rsid w:val="008B6883"/>
    <w:rsid w:val="008B7481"/>
    <w:rsid w:val="008C1956"/>
    <w:rsid w:val="008C20E7"/>
    <w:rsid w:val="008C6E68"/>
    <w:rsid w:val="008C7154"/>
    <w:rsid w:val="008C77BE"/>
    <w:rsid w:val="008C79D1"/>
    <w:rsid w:val="008D06FA"/>
    <w:rsid w:val="008D10C5"/>
    <w:rsid w:val="008D132A"/>
    <w:rsid w:val="008D2A06"/>
    <w:rsid w:val="008D2B4A"/>
    <w:rsid w:val="008D2D7E"/>
    <w:rsid w:val="008D40BF"/>
    <w:rsid w:val="008D46B9"/>
    <w:rsid w:val="008D4ECB"/>
    <w:rsid w:val="008D6275"/>
    <w:rsid w:val="008D71C5"/>
    <w:rsid w:val="008E2023"/>
    <w:rsid w:val="008E27E4"/>
    <w:rsid w:val="008E60BC"/>
    <w:rsid w:val="008E6DE8"/>
    <w:rsid w:val="008E7189"/>
    <w:rsid w:val="008E762E"/>
    <w:rsid w:val="008F20D1"/>
    <w:rsid w:val="008F354D"/>
    <w:rsid w:val="008F3918"/>
    <w:rsid w:val="008F39B2"/>
    <w:rsid w:val="008F432E"/>
    <w:rsid w:val="008F452B"/>
    <w:rsid w:val="008F5D23"/>
    <w:rsid w:val="008F6279"/>
    <w:rsid w:val="008F7255"/>
    <w:rsid w:val="00900935"/>
    <w:rsid w:val="00901032"/>
    <w:rsid w:val="00901E9B"/>
    <w:rsid w:val="00902CE3"/>
    <w:rsid w:val="0090363F"/>
    <w:rsid w:val="009041BD"/>
    <w:rsid w:val="009049F9"/>
    <w:rsid w:val="00904ABE"/>
    <w:rsid w:val="00905751"/>
    <w:rsid w:val="0091004C"/>
    <w:rsid w:val="00912A01"/>
    <w:rsid w:val="00912D16"/>
    <w:rsid w:val="00913685"/>
    <w:rsid w:val="00915B77"/>
    <w:rsid w:val="009161CD"/>
    <w:rsid w:val="009176A7"/>
    <w:rsid w:val="009201ED"/>
    <w:rsid w:val="00921B1C"/>
    <w:rsid w:val="00925D89"/>
    <w:rsid w:val="009261DE"/>
    <w:rsid w:val="00926665"/>
    <w:rsid w:val="00926C3A"/>
    <w:rsid w:val="0093065F"/>
    <w:rsid w:val="00930EC3"/>
    <w:rsid w:val="00932B4D"/>
    <w:rsid w:val="00932B54"/>
    <w:rsid w:val="0093333B"/>
    <w:rsid w:val="0093397E"/>
    <w:rsid w:val="00933988"/>
    <w:rsid w:val="00933B38"/>
    <w:rsid w:val="00934436"/>
    <w:rsid w:val="00934A1E"/>
    <w:rsid w:val="00934D3D"/>
    <w:rsid w:val="009350CE"/>
    <w:rsid w:val="009364A8"/>
    <w:rsid w:val="00936E87"/>
    <w:rsid w:val="00937231"/>
    <w:rsid w:val="009403BF"/>
    <w:rsid w:val="009410F8"/>
    <w:rsid w:val="00942A76"/>
    <w:rsid w:val="0094301C"/>
    <w:rsid w:val="0094352E"/>
    <w:rsid w:val="00943D53"/>
    <w:rsid w:val="009442EF"/>
    <w:rsid w:val="00945BDA"/>
    <w:rsid w:val="00950185"/>
    <w:rsid w:val="009509BA"/>
    <w:rsid w:val="0095160A"/>
    <w:rsid w:val="00952626"/>
    <w:rsid w:val="0095444E"/>
    <w:rsid w:val="00955375"/>
    <w:rsid w:val="00955C83"/>
    <w:rsid w:val="00955DCA"/>
    <w:rsid w:val="009567DA"/>
    <w:rsid w:val="009576F1"/>
    <w:rsid w:val="00957ED5"/>
    <w:rsid w:val="00960888"/>
    <w:rsid w:val="00962078"/>
    <w:rsid w:val="0096299D"/>
    <w:rsid w:val="0096394A"/>
    <w:rsid w:val="00963E3B"/>
    <w:rsid w:val="00964A59"/>
    <w:rsid w:val="0096756F"/>
    <w:rsid w:val="0097267F"/>
    <w:rsid w:val="00972743"/>
    <w:rsid w:val="00973321"/>
    <w:rsid w:val="00973404"/>
    <w:rsid w:val="009756E1"/>
    <w:rsid w:val="00981F8D"/>
    <w:rsid w:val="00983ED9"/>
    <w:rsid w:val="00984623"/>
    <w:rsid w:val="009879A3"/>
    <w:rsid w:val="009901BD"/>
    <w:rsid w:val="00993083"/>
    <w:rsid w:val="00993AA4"/>
    <w:rsid w:val="00993FF3"/>
    <w:rsid w:val="009945D5"/>
    <w:rsid w:val="009951C6"/>
    <w:rsid w:val="0099545A"/>
    <w:rsid w:val="00995F40"/>
    <w:rsid w:val="00997523"/>
    <w:rsid w:val="00997939"/>
    <w:rsid w:val="009A096E"/>
    <w:rsid w:val="009A2F9E"/>
    <w:rsid w:val="009A4005"/>
    <w:rsid w:val="009A67D2"/>
    <w:rsid w:val="009A6DD2"/>
    <w:rsid w:val="009A724F"/>
    <w:rsid w:val="009B1BAF"/>
    <w:rsid w:val="009B1C7D"/>
    <w:rsid w:val="009B468F"/>
    <w:rsid w:val="009B4F03"/>
    <w:rsid w:val="009B5A98"/>
    <w:rsid w:val="009B6CFA"/>
    <w:rsid w:val="009B799D"/>
    <w:rsid w:val="009B7E33"/>
    <w:rsid w:val="009B7E84"/>
    <w:rsid w:val="009C03E6"/>
    <w:rsid w:val="009C2692"/>
    <w:rsid w:val="009C630A"/>
    <w:rsid w:val="009C7586"/>
    <w:rsid w:val="009C7D32"/>
    <w:rsid w:val="009D050C"/>
    <w:rsid w:val="009D12A2"/>
    <w:rsid w:val="009D1EAA"/>
    <w:rsid w:val="009D2E52"/>
    <w:rsid w:val="009D4766"/>
    <w:rsid w:val="009D4BEF"/>
    <w:rsid w:val="009D5145"/>
    <w:rsid w:val="009D5607"/>
    <w:rsid w:val="009D7759"/>
    <w:rsid w:val="009E04B7"/>
    <w:rsid w:val="009E08E4"/>
    <w:rsid w:val="009E1D60"/>
    <w:rsid w:val="009E2208"/>
    <w:rsid w:val="009E27CD"/>
    <w:rsid w:val="009E3937"/>
    <w:rsid w:val="009E4D8F"/>
    <w:rsid w:val="009E4E7D"/>
    <w:rsid w:val="009E6477"/>
    <w:rsid w:val="009E66F4"/>
    <w:rsid w:val="009E68A8"/>
    <w:rsid w:val="009E71D7"/>
    <w:rsid w:val="009E7DA1"/>
    <w:rsid w:val="009F2AF6"/>
    <w:rsid w:val="009F31DC"/>
    <w:rsid w:val="009F763E"/>
    <w:rsid w:val="00A01C02"/>
    <w:rsid w:val="00A01FD3"/>
    <w:rsid w:val="00A0220A"/>
    <w:rsid w:val="00A02737"/>
    <w:rsid w:val="00A03198"/>
    <w:rsid w:val="00A05643"/>
    <w:rsid w:val="00A05DB7"/>
    <w:rsid w:val="00A07D6C"/>
    <w:rsid w:val="00A07ECB"/>
    <w:rsid w:val="00A10B4E"/>
    <w:rsid w:val="00A1254C"/>
    <w:rsid w:val="00A14048"/>
    <w:rsid w:val="00A14051"/>
    <w:rsid w:val="00A140D1"/>
    <w:rsid w:val="00A14C39"/>
    <w:rsid w:val="00A16A8E"/>
    <w:rsid w:val="00A16C1E"/>
    <w:rsid w:val="00A17822"/>
    <w:rsid w:val="00A20EE5"/>
    <w:rsid w:val="00A21A99"/>
    <w:rsid w:val="00A22396"/>
    <w:rsid w:val="00A22935"/>
    <w:rsid w:val="00A22A2F"/>
    <w:rsid w:val="00A241FE"/>
    <w:rsid w:val="00A31F3E"/>
    <w:rsid w:val="00A32B53"/>
    <w:rsid w:val="00A32CC2"/>
    <w:rsid w:val="00A332E4"/>
    <w:rsid w:val="00A34EB8"/>
    <w:rsid w:val="00A37952"/>
    <w:rsid w:val="00A40D0F"/>
    <w:rsid w:val="00A4259A"/>
    <w:rsid w:val="00A42F39"/>
    <w:rsid w:val="00A45983"/>
    <w:rsid w:val="00A46DAB"/>
    <w:rsid w:val="00A4741B"/>
    <w:rsid w:val="00A512AC"/>
    <w:rsid w:val="00A514B8"/>
    <w:rsid w:val="00A52AF2"/>
    <w:rsid w:val="00A52B23"/>
    <w:rsid w:val="00A53987"/>
    <w:rsid w:val="00A53CCA"/>
    <w:rsid w:val="00A567ED"/>
    <w:rsid w:val="00A56CF2"/>
    <w:rsid w:val="00A57B79"/>
    <w:rsid w:val="00A602F6"/>
    <w:rsid w:val="00A6365D"/>
    <w:rsid w:val="00A6654F"/>
    <w:rsid w:val="00A6788D"/>
    <w:rsid w:val="00A730B3"/>
    <w:rsid w:val="00A741C8"/>
    <w:rsid w:val="00A74A36"/>
    <w:rsid w:val="00A75364"/>
    <w:rsid w:val="00A757A6"/>
    <w:rsid w:val="00A76F4D"/>
    <w:rsid w:val="00A76FE8"/>
    <w:rsid w:val="00A77D63"/>
    <w:rsid w:val="00A80007"/>
    <w:rsid w:val="00A80F3A"/>
    <w:rsid w:val="00A820B9"/>
    <w:rsid w:val="00A829EC"/>
    <w:rsid w:val="00A82FAB"/>
    <w:rsid w:val="00A8362E"/>
    <w:rsid w:val="00A84072"/>
    <w:rsid w:val="00A8473F"/>
    <w:rsid w:val="00A84BEA"/>
    <w:rsid w:val="00A84CB2"/>
    <w:rsid w:val="00A90EA2"/>
    <w:rsid w:val="00A90F47"/>
    <w:rsid w:val="00A91DAC"/>
    <w:rsid w:val="00A92C7A"/>
    <w:rsid w:val="00A93178"/>
    <w:rsid w:val="00A934EB"/>
    <w:rsid w:val="00A93F73"/>
    <w:rsid w:val="00A95058"/>
    <w:rsid w:val="00AA2466"/>
    <w:rsid w:val="00AA25E1"/>
    <w:rsid w:val="00AA2AED"/>
    <w:rsid w:val="00AA3BDB"/>
    <w:rsid w:val="00AA4AFA"/>
    <w:rsid w:val="00AA73B4"/>
    <w:rsid w:val="00AA7815"/>
    <w:rsid w:val="00AA7AE6"/>
    <w:rsid w:val="00AB0C09"/>
    <w:rsid w:val="00AB1929"/>
    <w:rsid w:val="00AB4FE6"/>
    <w:rsid w:val="00AC18F7"/>
    <w:rsid w:val="00AC1D97"/>
    <w:rsid w:val="00AC1DFE"/>
    <w:rsid w:val="00AC2A03"/>
    <w:rsid w:val="00AC2A67"/>
    <w:rsid w:val="00AC33A8"/>
    <w:rsid w:val="00AC55BD"/>
    <w:rsid w:val="00AC566F"/>
    <w:rsid w:val="00AC65BA"/>
    <w:rsid w:val="00AC67AC"/>
    <w:rsid w:val="00AC79A1"/>
    <w:rsid w:val="00AD1002"/>
    <w:rsid w:val="00AD2E70"/>
    <w:rsid w:val="00AD3440"/>
    <w:rsid w:val="00AD3769"/>
    <w:rsid w:val="00AD784E"/>
    <w:rsid w:val="00AD7888"/>
    <w:rsid w:val="00AE05D9"/>
    <w:rsid w:val="00AE09F7"/>
    <w:rsid w:val="00AE18D2"/>
    <w:rsid w:val="00AE4183"/>
    <w:rsid w:val="00AE47D4"/>
    <w:rsid w:val="00AE4EE0"/>
    <w:rsid w:val="00AE5646"/>
    <w:rsid w:val="00AE5E04"/>
    <w:rsid w:val="00AE6634"/>
    <w:rsid w:val="00AE6DF9"/>
    <w:rsid w:val="00AE7C33"/>
    <w:rsid w:val="00AE7D4B"/>
    <w:rsid w:val="00AE7FEF"/>
    <w:rsid w:val="00AF08A6"/>
    <w:rsid w:val="00AF0EE9"/>
    <w:rsid w:val="00AF2B20"/>
    <w:rsid w:val="00AF2C85"/>
    <w:rsid w:val="00AF3950"/>
    <w:rsid w:val="00AF3B9C"/>
    <w:rsid w:val="00AF3E8D"/>
    <w:rsid w:val="00AF44C7"/>
    <w:rsid w:val="00AF53D3"/>
    <w:rsid w:val="00AF7C11"/>
    <w:rsid w:val="00B00009"/>
    <w:rsid w:val="00B003FA"/>
    <w:rsid w:val="00B01AFF"/>
    <w:rsid w:val="00B01F3D"/>
    <w:rsid w:val="00B0398E"/>
    <w:rsid w:val="00B039B6"/>
    <w:rsid w:val="00B07CD4"/>
    <w:rsid w:val="00B10156"/>
    <w:rsid w:val="00B10F15"/>
    <w:rsid w:val="00B1148D"/>
    <w:rsid w:val="00B11914"/>
    <w:rsid w:val="00B1270F"/>
    <w:rsid w:val="00B1279E"/>
    <w:rsid w:val="00B12BA7"/>
    <w:rsid w:val="00B12C3C"/>
    <w:rsid w:val="00B16343"/>
    <w:rsid w:val="00B1692D"/>
    <w:rsid w:val="00B20684"/>
    <w:rsid w:val="00B2081D"/>
    <w:rsid w:val="00B221A3"/>
    <w:rsid w:val="00B22317"/>
    <w:rsid w:val="00B23670"/>
    <w:rsid w:val="00B237A6"/>
    <w:rsid w:val="00B248C9"/>
    <w:rsid w:val="00B24A5A"/>
    <w:rsid w:val="00B24CDC"/>
    <w:rsid w:val="00B31F99"/>
    <w:rsid w:val="00B33F73"/>
    <w:rsid w:val="00B35ABD"/>
    <w:rsid w:val="00B42B7F"/>
    <w:rsid w:val="00B43668"/>
    <w:rsid w:val="00B43C3A"/>
    <w:rsid w:val="00B43C65"/>
    <w:rsid w:val="00B440E5"/>
    <w:rsid w:val="00B44AF3"/>
    <w:rsid w:val="00B45C19"/>
    <w:rsid w:val="00B477A4"/>
    <w:rsid w:val="00B47CEE"/>
    <w:rsid w:val="00B5008B"/>
    <w:rsid w:val="00B50BA9"/>
    <w:rsid w:val="00B51166"/>
    <w:rsid w:val="00B5172D"/>
    <w:rsid w:val="00B51E8C"/>
    <w:rsid w:val="00B52A75"/>
    <w:rsid w:val="00B54AC2"/>
    <w:rsid w:val="00B5619E"/>
    <w:rsid w:val="00B56392"/>
    <w:rsid w:val="00B60187"/>
    <w:rsid w:val="00B60B87"/>
    <w:rsid w:val="00B60CCA"/>
    <w:rsid w:val="00B61766"/>
    <w:rsid w:val="00B62D15"/>
    <w:rsid w:val="00B62D8F"/>
    <w:rsid w:val="00B648C4"/>
    <w:rsid w:val="00B65590"/>
    <w:rsid w:val="00B65AD3"/>
    <w:rsid w:val="00B65B9B"/>
    <w:rsid w:val="00B65E81"/>
    <w:rsid w:val="00B66B73"/>
    <w:rsid w:val="00B673D2"/>
    <w:rsid w:val="00B67401"/>
    <w:rsid w:val="00B70411"/>
    <w:rsid w:val="00B704F0"/>
    <w:rsid w:val="00B723D9"/>
    <w:rsid w:val="00B75693"/>
    <w:rsid w:val="00B772A0"/>
    <w:rsid w:val="00B77CFE"/>
    <w:rsid w:val="00B8187A"/>
    <w:rsid w:val="00B82A5C"/>
    <w:rsid w:val="00B834AD"/>
    <w:rsid w:val="00B83B49"/>
    <w:rsid w:val="00B84ABD"/>
    <w:rsid w:val="00B85318"/>
    <w:rsid w:val="00B85953"/>
    <w:rsid w:val="00B87071"/>
    <w:rsid w:val="00B905F4"/>
    <w:rsid w:val="00B916D2"/>
    <w:rsid w:val="00B91FBF"/>
    <w:rsid w:val="00B938EE"/>
    <w:rsid w:val="00B93F40"/>
    <w:rsid w:val="00B94834"/>
    <w:rsid w:val="00B959D4"/>
    <w:rsid w:val="00B96F90"/>
    <w:rsid w:val="00B9788D"/>
    <w:rsid w:val="00BA0E43"/>
    <w:rsid w:val="00BA4004"/>
    <w:rsid w:val="00BA4362"/>
    <w:rsid w:val="00BA445D"/>
    <w:rsid w:val="00BA5206"/>
    <w:rsid w:val="00BA5FBB"/>
    <w:rsid w:val="00BA68CE"/>
    <w:rsid w:val="00BA7DE6"/>
    <w:rsid w:val="00BB1712"/>
    <w:rsid w:val="00BB23CC"/>
    <w:rsid w:val="00BB2B1B"/>
    <w:rsid w:val="00BB3F10"/>
    <w:rsid w:val="00BB44C7"/>
    <w:rsid w:val="00BB4F85"/>
    <w:rsid w:val="00BB5107"/>
    <w:rsid w:val="00BB575A"/>
    <w:rsid w:val="00BB673E"/>
    <w:rsid w:val="00BB6AEE"/>
    <w:rsid w:val="00BB7EAD"/>
    <w:rsid w:val="00BB7FF0"/>
    <w:rsid w:val="00BC021F"/>
    <w:rsid w:val="00BC0C28"/>
    <w:rsid w:val="00BC160F"/>
    <w:rsid w:val="00BC1C06"/>
    <w:rsid w:val="00BC35BF"/>
    <w:rsid w:val="00BC3958"/>
    <w:rsid w:val="00BC622B"/>
    <w:rsid w:val="00BD0D3E"/>
    <w:rsid w:val="00BD0FEC"/>
    <w:rsid w:val="00BD1875"/>
    <w:rsid w:val="00BD4246"/>
    <w:rsid w:val="00BD772B"/>
    <w:rsid w:val="00BE09CE"/>
    <w:rsid w:val="00BE31B2"/>
    <w:rsid w:val="00BE373B"/>
    <w:rsid w:val="00BE37B6"/>
    <w:rsid w:val="00BE56EF"/>
    <w:rsid w:val="00BE5F9C"/>
    <w:rsid w:val="00BE7D54"/>
    <w:rsid w:val="00BF0CC0"/>
    <w:rsid w:val="00BF0F56"/>
    <w:rsid w:val="00BF1696"/>
    <w:rsid w:val="00BF243B"/>
    <w:rsid w:val="00BF2499"/>
    <w:rsid w:val="00BF2BA4"/>
    <w:rsid w:val="00BF3434"/>
    <w:rsid w:val="00BF4EDA"/>
    <w:rsid w:val="00BF6060"/>
    <w:rsid w:val="00BF6445"/>
    <w:rsid w:val="00BF6D1D"/>
    <w:rsid w:val="00BF6F9A"/>
    <w:rsid w:val="00BF77FD"/>
    <w:rsid w:val="00C00589"/>
    <w:rsid w:val="00C00EFE"/>
    <w:rsid w:val="00C02CDC"/>
    <w:rsid w:val="00C03E96"/>
    <w:rsid w:val="00C04A33"/>
    <w:rsid w:val="00C055A3"/>
    <w:rsid w:val="00C05817"/>
    <w:rsid w:val="00C05D31"/>
    <w:rsid w:val="00C0603F"/>
    <w:rsid w:val="00C06065"/>
    <w:rsid w:val="00C06CEA"/>
    <w:rsid w:val="00C1134C"/>
    <w:rsid w:val="00C12A4F"/>
    <w:rsid w:val="00C13BE1"/>
    <w:rsid w:val="00C14F86"/>
    <w:rsid w:val="00C15CAC"/>
    <w:rsid w:val="00C17E55"/>
    <w:rsid w:val="00C24471"/>
    <w:rsid w:val="00C24D85"/>
    <w:rsid w:val="00C25179"/>
    <w:rsid w:val="00C26E82"/>
    <w:rsid w:val="00C27097"/>
    <w:rsid w:val="00C30AFE"/>
    <w:rsid w:val="00C30BD1"/>
    <w:rsid w:val="00C31977"/>
    <w:rsid w:val="00C3294F"/>
    <w:rsid w:val="00C34990"/>
    <w:rsid w:val="00C352FF"/>
    <w:rsid w:val="00C36BEF"/>
    <w:rsid w:val="00C37223"/>
    <w:rsid w:val="00C37A2E"/>
    <w:rsid w:val="00C40369"/>
    <w:rsid w:val="00C41737"/>
    <w:rsid w:val="00C4263C"/>
    <w:rsid w:val="00C42B5A"/>
    <w:rsid w:val="00C43623"/>
    <w:rsid w:val="00C445F4"/>
    <w:rsid w:val="00C44AA1"/>
    <w:rsid w:val="00C44B29"/>
    <w:rsid w:val="00C452FD"/>
    <w:rsid w:val="00C45920"/>
    <w:rsid w:val="00C45B68"/>
    <w:rsid w:val="00C462F2"/>
    <w:rsid w:val="00C46D70"/>
    <w:rsid w:val="00C478A5"/>
    <w:rsid w:val="00C503EF"/>
    <w:rsid w:val="00C516A0"/>
    <w:rsid w:val="00C52834"/>
    <w:rsid w:val="00C56846"/>
    <w:rsid w:val="00C56D09"/>
    <w:rsid w:val="00C60D1F"/>
    <w:rsid w:val="00C61342"/>
    <w:rsid w:val="00C62DE1"/>
    <w:rsid w:val="00C63713"/>
    <w:rsid w:val="00C638E7"/>
    <w:rsid w:val="00C63C7C"/>
    <w:rsid w:val="00C64F39"/>
    <w:rsid w:val="00C66848"/>
    <w:rsid w:val="00C6701F"/>
    <w:rsid w:val="00C6789E"/>
    <w:rsid w:val="00C703FC"/>
    <w:rsid w:val="00C7083B"/>
    <w:rsid w:val="00C70C98"/>
    <w:rsid w:val="00C717A2"/>
    <w:rsid w:val="00C72F22"/>
    <w:rsid w:val="00C74379"/>
    <w:rsid w:val="00C75AFD"/>
    <w:rsid w:val="00C775FC"/>
    <w:rsid w:val="00C775FD"/>
    <w:rsid w:val="00C77608"/>
    <w:rsid w:val="00C77980"/>
    <w:rsid w:val="00C77C2D"/>
    <w:rsid w:val="00C8138C"/>
    <w:rsid w:val="00C81C74"/>
    <w:rsid w:val="00C82C3E"/>
    <w:rsid w:val="00C84DB8"/>
    <w:rsid w:val="00C855FB"/>
    <w:rsid w:val="00C85C00"/>
    <w:rsid w:val="00C85DD8"/>
    <w:rsid w:val="00C90B2B"/>
    <w:rsid w:val="00C91267"/>
    <w:rsid w:val="00C912E9"/>
    <w:rsid w:val="00C91D8F"/>
    <w:rsid w:val="00C92AE2"/>
    <w:rsid w:val="00C9460A"/>
    <w:rsid w:val="00C96359"/>
    <w:rsid w:val="00C968D0"/>
    <w:rsid w:val="00C9725A"/>
    <w:rsid w:val="00C97589"/>
    <w:rsid w:val="00CA01AF"/>
    <w:rsid w:val="00CA0335"/>
    <w:rsid w:val="00CA2914"/>
    <w:rsid w:val="00CA3616"/>
    <w:rsid w:val="00CA4F81"/>
    <w:rsid w:val="00CA5392"/>
    <w:rsid w:val="00CA5AC1"/>
    <w:rsid w:val="00CA6649"/>
    <w:rsid w:val="00CA7041"/>
    <w:rsid w:val="00CA7AE2"/>
    <w:rsid w:val="00CA7F1C"/>
    <w:rsid w:val="00CB237F"/>
    <w:rsid w:val="00CB2775"/>
    <w:rsid w:val="00CB4952"/>
    <w:rsid w:val="00CB6DC1"/>
    <w:rsid w:val="00CB7578"/>
    <w:rsid w:val="00CB77CE"/>
    <w:rsid w:val="00CC0E4C"/>
    <w:rsid w:val="00CC16F3"/>
    <w:rsid w:val="00CC1C02"/>
    <w:rsid w:val="00CC209F"/>
    <w:rsid w:val="00CC2185"/>
    <w:rsid w:val="00CC2262"/>
    <w:rsid w:val="00CC4198"/>
    <w:rsid w:val="00CC425A"/>
    <w:rsid w:val="00CC4ADF"/>
    <w:rsid w:val="00CC5038"/>
    <w:rsid w:val="00CC6300"/>
    <w:rsid w:val="00CC69BE"/>
    <w:rsid w:val="00CC69D3"/>
    <w:rsid w:val="00CC6CD2"/>
    <w:rsid w:val="00CD32EA"/>
    <w:rsid w:val="00CD358B"/>
    <w:rsid w:val="00CD61AB"/>
    <w:rsid w:val="00CD7F4C"/>
    <w:rsid w:val="00CE0C5E"/>
    <w:rsid w:val="00CE0E8C"/>
    <w:rsid w:val="00CE1F84"/>
    <w:rsid w:val="00CE3845"/>
    <w:rsid w:val="00CE3C52"/>
    <w:rsid w:val="00CE40D4"/>
    <w:rsid w:val="00CE4164"/>
    <w:rsid w:val="00CE4C82"/>
    <w:rsid w:val="00CE5925"/>
    <w:rsid w:val="00CE685D"/>
    <w:rsid w:val="00CE71F0"/>
    <w:rsid w:val="00CF07AA"/>
    <w:rsid w:val="00CF2145"/>
    <w:rsid w:val="00CF265F"/>
    <w:rsid w:val="00CF48F0"/>
    <w:rsid w:val="00CF48F1"/>
    <w:rsid w:val="00CF5997"/>
    <w:rsid w:val="00CF6E78"/>
    <w:rsid w:val="00CF7B8D"/>
    <w:rsid w:val="00D00571"/>
    <w:rsid w:val="00D00ECB"/>
    <w:rsid w:val="00D02BEF"/>
    <w:rsid w:val="00D04161"/>
    <w:rsid w:val="00D061A4"/>
    <w:rsid w:val="00D0689D"/>
    <w:rsid w:val="00D07548"/>
    <w:rsid w:val="00D11560"/>
    <w:rsid w:val="00D12646"/>
    <w:rsid w:val="00D12C24"/>
    <w:rsid w:val="00D14738"/>
    <w:rsid w:val="00D15403"/>
    <w:rsid w:val="00D15FAA"/>
    <w:rsid w:val="00D206D5"/>
    <w:rsid w:val="00D20E9C"/>
    <w:rsid w:val="00D21185"/>
    <w:rsid w:val="00D2197C"/>
    <w:rsid w:val="00D21F79"/>
    <w:rsid w:val="00D225F8"/>
    <w:rsid w:val="00D22659"/>
    <w:rsid w:val="00D23B39"/>
    <w:rsid w:val="00D24FB1"/>
    <w:rsid w:val="00D258BD"/>
    <w:rsid w:val="00D25C57"/>
    <w:rsid w:val="00D25D6E"/>
    <w:rsid w:val="00D26674"/>
    <w:rsid w:val="00D2675E"/>
    <w:rsid w:val="00D26F72"/>
    <w:rsid w:val="00D2752C"/>
    <w:rsid w:val="00D27CED"/>
    <w:rsid w:val="00D33AC6"/>
    <w:rsid w:val="00D34105"/>
    <w:rsid w:val="00D34E0D"/>
    <w:rsid w:val="00D3744F"/>
    <w:rsid w:val="00D37E7A"/>
    <w:rsid w:val="00D41B23"/>
    <w:rsid w:val="00D42310"/>
    <w:rsid w:val="00D43DA0"/>
    <w:rsid w:val="00D43FAB"/>
    <w:rsid w:val="00D44BCC"/>
    <w:rsid w:val="00D4569D"/>
    <w:rsid w:val="00D45BAD"/>
    <w:rsid w:val="00D45FFE"/>
    <w:rsid w:val="00D465C1"/>
    <w:rsid w:val="00D46B59"/>
    <w:rsid w:val="00D47ABF"/>
    <w:rsid w:val="00D50151"/>
    <w:rsid w:val="00D51F0F"/>
    <w:rsid w:val="00D53A60"/>
    <w:rsid w:val="00D53DA4"/>
    <w:rsid w:val="00D54A53"/>
    <w:rsid w:val="00D55967"/>
    <w:rsid w:val="00D55C7B"/>
    <w:rsid w:val="00D56349"/>
    <w:rsid w:val="00D568C1"/>
    <w:rsid w:val="00D57A88"/>
    <w:rsid w:val="00D60CC6"/>
    <w:rsid w:val="00D6215B"/>
    <w:rsid w:val="00D62E08"/>
    <w:rsid w:val="00D63866"/>
    <w:rsid w:val="00D67E65"/>
    <w:rsid w:val="00D70B7D"/>
    <w:rsid w:val="00D7141E"/>
    <w:rsid w:val="00D714EA"/>
    <w:rsid w:val="00D71DFD"/>
    <w:rsid w:val="00D72085"/>
    <w:rsid w:val="00D7284C"/>
    <w:rsid w:val="00D74652"/>
    <w:rsid w:val="00D77139"/>
    <w:rsid w:val="00D77FDF"/>
    <w:rsid w:val="00D802EB"/>
    <w:rsid w:val="00D80AF1"/>
    <w:rsid w:val="00D81A09"/>
    <w:rsid w:val="00D81D63"/>
    <w:rsid w:val="00D82080"/>
    <w:rsid w:val="00D832AA"/>
    <w:rsid w:val="00D8376C"/>
    <w:rsid w:val="00D84310"/>
    <w:rsid w:val="00D85C3F"/>
    <w:rsid w:val="00D87105"/>
    <w:rsid w:val="00D87826"/>
    <w:rsid w:val="00D90A3F"/>
    <w:rsid w:val="00D91D45"/>
    <w:rsid w:val="00D93ABB"/>
    <w:rsid w:val="00D94EA7"/>
    <w:rsid w:val="00D950BC"/>
    <w:rsid w:val="00D9578C"/>
    <w:rsid w:val="00D979A1"/>
    <w:rsid w:val="00DA0D2A"/>
    <w:rsid w:val="00DA2017"/>
    <w:rsid w:val="00DA2602"/>
    <w:rsid w:val="00DA2940"/>
    <w:rsid w:val="00DA3E49"/>
    <w:rsid w:val="00DA52AA"/>
    <w:rsid w:val="00DA76C6"/>
    <w:rsid w:val="00DA7ABC"/>
    <w:rsid w:val="00DA7F09"/>
    <w:rsid w:val="00DB025E"/>
    <w:rsid w:val="00DB1FFF"/>
    <w:rsid w:val="00DB20B2"/>
    <w:rsid w:val="00DB42CC"/>
    <w:rsid w:val="00DB6004"/>
    <w:rsid w:val="00DB61E2"/>
    <w:rsid w:val="00DB7102"/>
    <w:rsid w:val="00DB7396"/>
    <w:rsid w:val="00DC1853"/>
    <w:rsid w:val="00DC359D"/>
    <w:rsid w:val="00DC3A14"/>
    <w:rsid w:val="00DC3AFD"/>
    <w:rsid w:val="00DC3BF9"/>
    <w:rsid w:val="00DC42EE"/>
    <w:rsid w:val="00DC47CF"/>
    <w:rsid w:val="00DC4838"/>
    <w:rsid w:val="00DC4A9E"/>
    <w:rsid w:val="00DC4B2E"/>
    <w:rsid w:val="00DC5023"/>
    <w:rsid w:val="00DC57D7"/>
    <w:rsid w:val="00DC6778"/>
    <w:rsid w:val="00DC7624"/>
    <w:rsid w:val="00DC796E"/>
    <w:rsid w:val="00DD0783"/>
    <w:rsid w:val="00DD10E0"/>
    <w:rsid w:val="00DD1141"/>
    <w:rsid w:val="00DD26DA"/>
    <w:rsid w:val="00DD29D9"/>
    <w:rsid w:val="00DD379B"/>
    <w:rsid w:val="00DD409F"/>
    <w:rsid w:val="00DD5073"/>
    <w:rsid w:val="00DD555D"/>
    <w:rsid w:val="00DD71F9"/>
    <w:rsid w:val="00DE00B6"/>
    <w:rsid w:val="00DE08BA"/>
    <w:rsid w:val="00DE097C"/>
    <w:rsid w:val="00DE0BB6"/>
    <w:rsid w:val="00DE0C3E"/>
    <w:rsid w:val="00DE17A6"/>
    <w:rsid w:val="00DE5CD7"/>
    <w:rsid w:val="00DE617A"/>
    <w:rsid w:val="00DE6CEA"/>
    <w:rsid w:val="00DE7A63"/>
    <w:rsid w:val="00DF1769"/>
    <w:rsid w:val="00DF1DCF"/>
    <w:rsid w:val="00DF35B5"/>
    <w:rsid w:val="00DF370E"/>
    <w:rsid w:val="00DF3EE5"/>
    <w:rsid w:val="00DF417B"/>
    <w:rsid w:val="00DF4B6E"/>
    <w:rsid w:val="00DF5756"/>
    <w:rsid w:val="00DF645E"/>
    <w:rsid w:val="00E00A9B"/>
    <w:rsid w:val="00E017C4"/>
    <w:rsid w:val="00E0204D"/>
    <w:rsid w:val="00E03A06"/>
    <w:rsid w:val="00E04061"/>
    <w:rsid w:val="00E04292"/>
    <w:rsid w:val="00E04770"/>
    <w:rsid w:val="00E06914"/>
    <w:rsid w:val="00E07BC3"/>
    <w:rsid w:val="00E170EF"/>
    <w:rsid w:val="00E201C9"/>
    <w:rsid w:val="00E205C2"/>
    <w:rsid w:val="00E20920"/>
    <w:rsid w:val="00E22B6E"/>
    <w:rsid w:val="00E248E8"/>
    <w:rsid w:val="00E25A72"/>
    <w:rsid w:val="00E27312"/>
    <w:rsid w:val="00E2733D"/>
    <w:rsid w:val="00E27F4E"/>
    <w:rsid w:val="00E30F00"/>
    <w:rsid w:val="00E30F60"/>
    <w:rsid w:val="00E30F9D"/>
    <w:rsid w:val="00E325C8"/>
    <w:rsid w:val="00E32727"/>
    <w:rsid w:val="00E32FD0"/>
    <w:rsid w:val="00E340CB"/>
    <w:rsid w:val="00E3432A"/>
    <w:rsid w:val="00E35900"/>
    <w:rsid w:val="00E36A1B"/>
    <w:rsid w:val="00E36D92"/>
    <w:rsid w:val="00E4060F"/>
    <w:rsid w:val="00E40FA3"/>
    <w:rsid w:val="00E4164B"/>
    <w:rsid w:val="00E41B77"/>
    <w:rsid w:val="00E42001"/>
    <w:rsid w:val="00E4292A"/>
    <w:rsid w:val="00E42CEE"/>
    <w:rsid w:val="00E43F0C"/>
    <w:rsid w:val="00E44C0D"/>
    <w:rsid w:val="00E44FD1"/>
    <w:rsid w:val="00E465DF"/>
    <w:rsid w:val="00E47E34"/>
    <w:rsid w:val="00E504DD"/>
    <w:rsid w:val="00E547F5"/>
    <w:rsid w:val="00E55083"/>
    <w:rsid w:val="00E601DD"/>
    <w:rsid w:val="00E61A4D"/>
    <w:rsid w:val="00E61BDF"/>
    <w:rsid w:val="00E637BD"/>
    <w:rsid w:val="00E65CC5"/>
    <w:rsid w:val="00E67244"/>
    <w:rsid w:val="00E713F1"/>
    <w:rsid w:val="00E72C4C"/>
    <w:rsid w:val="00E73F89"/>
    <w:rsid w:val="00E74666"/>
    <w:rsid w:val="00E762A1"/>
    <w:rsid w:val="00E76B47"/>
    <w:rsid w:val="00E825E7"/>
    <w:rsid w:val="00E835BC"/>
    <w:rsid w:val="00E83CD3"/>
    <w:rsid w:val="00E84FE1"/>
    <w:rsid w:val="00E857AE"/>
    <w:rsid w:val="00E8653C"/>
    <w:rsid w:val="00E908DD"/>
    <w:rsid w:val="00E909A9"/>
    <w:rsid w:val="00E91CBD"/>
    <w:rsid w:val="00E92AC7"/>
    <w:rsid w:val="00E94C96"/>
    <w:rsid w:val="00E95267"/>
    <w:rsid w:val="00E95DAE"/>
    <w:rsid w:val="00E969EE"/>
    <w:rsid w:val="00E97329"/>
    <w:rsid w:val="00E973F6"/>
    <w:rsid w:val="00E975D7"/>
    <w:rsid w:val="00EA0DA3"/>
    <w:rsid w:val="00EA1348"/>
    <w:rsid w:val="00EA1639"/>
    <w:rsid w:val="00EA1D22"/>
    <w:rsid w:val="00EA21EC"/>
    <w:rsid w:val="00EA24F8"/>
    <w:rsid w:val="00EA3F6A"/>
    <w:rsid w:val="00EA50CF"/>
    <w:rsid w:val="00EA5EC4"/>
    <w:rsid w:val="00EA6BC3"/>
    <w:rsid w:val="00EB167C"/>
    <w:rsid w:val="00EB19A6"/>
    <w:rsid w:val="00EB1EF1"/>
    <w:rsid w:val="00EB22BC"/>
    <w:rsid w:val="00EB5D00"/>
    <w:rsid w:val="00EB76B0"/>
    <w:rsid w:val="00EB7B1A"/>
    <w:rsid w:val="00EC0E4B"/>
    <w:rsid w:val="00EC0FBB"/>
    <w:rsid w:val="00EC18C2"/>
    <w:rsid w:val="00EC1BB9"/>
    <w:rsid w:val="00EC224F"/>
    <w:rsid w:val="00EC26B3"/>
    <w:rsid w:val="00EC2799"/>
    <w:rsid w:val="00EC3933"/>
    <w:rsid w:val="00EC4BFC"/>
    <w:rsid w:val="00EC4FE6"/>
    <w:rsid w:val="00EC5870"/>
    <w:rsid w:val="00ED1CE5"/>
    <w:rsid w:val="00ED3976"/>
    <w:rsid w:val="00ED58B6"/>
    <w:rsid w:val="00ED654F"/>
    <w:rsid w:val="00ED66AF"/>
    <w:rsid w:val="00EE1A93"/>
    <w:rsid w:val="00EE4347"/>
    <w:rsid w:val="00EE5F54"/>
    <w:rsid w:val="00EE704F"/>
    <w:rsid w:val="00EE7ECD"/>
    <w:rsid w:val="00EF04A6"/>
    <w:rsid w:val="00EF04E7"/>
    <w:rsid w:val="00EF068A"/>
    <w:rsid w:val="00EF22FF"/>
    <w:rsid w:val="00EF3598"/>
    <w:rsid w:val="00EF39A0"/>
    <w:rsid w:val="00EF3D0A"/>
    <w:rsid w:val="00EF3DAE"/>
    <w:rsid w:val="00EF6CE7"/>
    <w:rsid w:val="00EF73DE"/>
    <w:rsid w:val="00F001B7"/>
    <w:rsid w:val="00F005AF"/>
    <w:rsid w:val="00F0250D"/>
    <w:rsid w:val="00F030C1"/>
    <w:rsid w:val="00F032F2"/>
    <w:rsid w:val="00F03533"/>
    <w:rsid w:val="00F04276"/>
    <w:rsid w:val="00F0454F"/>
    <w:rsid w:val="00F0491E"/>
    <w:rsid w:val="00F068FD"/>
    <w:rsid w:val="00F0708E"/>
    <w:rsid w:val="00F10C17"/>
    <w:rsid w:val="00F121BD"/>
    <w:rsid w:val="00F1760F"/>
    <w:rsid w:val="00F2023A"/>
    <w:rsid w:val="00F2462A"/>
    <w:rsid w:val="00F24D38"/>
    <w:rsid w:val="00F25EC4"/>
    <w:rsid w:val="00F30603"/>
    <w:rsid w:val="00F30E5C"/>
    <w:rsid w:val="00F31A70"/>
    <w:rsid w:val="00F31BEB"/>
    <w:rsid w:val="00F32302"/>
    <w:rsid w:val="00F32F14"/>
    <w:rsid w:val="00F33484"/>
    <w:rsid w:val="00F35ACC"/>
    <w:rsid w:val="00F3667D"/>
    <w:rsid w:val="00F37057"/>
    <w:rsid w:val="00F37E30"/>
    <w:rsid w:val="00F40BC1"/>
    <w:rsid w:val="00F4106A"/>
    <w:rsid w:val="00F42395"/>
    <w:rsid w:val="00F427AD"/>
    <w:rsid w:val="00F439BD"/>
    <w:rsid w:val="00F46BF7"/>
    <w:rsid w:val="00F473D0"/>
    <w:rsid w:val="00F4768D"/>
    <w:rsid w:val="00F51787"/>
    <w:rsid w:val="00F525EC"/>
    <w:rsid w:val="00F54438"/>
    <w:rsid w:val="00F550E7"/>
    <w:rsid w:val="00F559EB"/>
    <w:rsid w:val="00F56551"/>
    <w:rsid w:val="00F56CEF"/>
    <w:rsid w:val="00F615E4"/>
    <w:rsid w:val="00F61AC5"/>
    <w:rsid w:val="00F62681"/>
    <w:rsid w:val="00F63022"/>
    <w:rsid w:val="00F6455E"/>
    <w:rsid w:val="00F6461D"/>
    <w:rsid w:val="00F66710"/>
    <w:rsid w:val="00F66A50"/>
    <w:rsid w:val="00F67F4C"/>
    <w:rsid w:val="00F706A9"/>
    <w:rsid w:val="00F71028"/>
    <w:rsid w:val="00F73D6B"/>
    <w:rsid w:val="00F740C4"/>
    <w:rsid w:val="00F74C67"/>
    <w:rsid w:val="00F75153"/>
    <w:rsid w:val="00F75A83"/>
    <w:rsid w:val="00F75C89"/>
    <w:rsid w:val="00F767C2"/>
    <w:rsid w:val="00F77A6A"/>
    <w:rsid w:val="00F77DDD"/>
    <w:rsid w:val="00F77ED0"/>
    <w:rsid w:val="00F8017D"/>
    <w:rsid w:val="00F82568"/>
    <w:rsid w:val="00F82978"/>
    <w:rsid w:val="00F82E9E"/>
    <w:rsid w:val="00F82F68"/>
    <w:rsid w:val="00F8346A"/>
    <w:rsid w:val="00F84124"/>
    <w:rsid w:val="00F84C93"/>
    <w:rsid w:val="00F85562"/>
    <w:rsid w:val="00F86BDA"/>
    <w:rsid w:val="00F878AD"/>
    <w:rsid w:val="00F9001E"/>
    <w:rsid w:val="00F90BDD"/>
    <w:rsid w:val="00F91051"/>
    <w:rsid w:val="00F92CDB"/>
    <w:rsid w:val="00F93FA4"/>
    <w:rsid w:val="00F940D6"/>
    <w:rsid w:val="00F9660D"/>
    <w:rsid w:val="00FA1F9B"/>
    <w:rsid w:val="00FA5518"/>
    <w:rsid w:val="00FA5CDD"/>
    <w:rsid w:val="00FB3783"/>
    <w:rsid w:val="00FB558C"/>
    <w:rsid w:val="00FB55BF"/>
    <w:rsid w:val="00FB7238"/>
    <w:rsid w:val="00FC0626"/>
    <w:rsid w:val="00FC06B9"/>
    <w:rsid w:val="00FC077E"/>
    <w:rsid w:val="00FC1887"/>
    <w:rsid w:val="00FC2C63"/>
    <w:rsid w:val="00FC2CD9"/>
    <w:rsid w:val="00FC4AE2"/>
    <w:rsid w:val="00FC4BE8"/>
    <w:rsid w:val="00FC54C9"/>
    <w:rsid w:val="00FC5D26"/>
    <w:rsid w:val="00FC5F9B"/>
    <w:rsid w:val="00FC63C7"/>
    <w:rsid w:val="00FC6569"/>
    <w:rsid w:val="00FC6A49"/>
    <w:rsid w:val="00FC7A88"/>
    <w:rsid w:val="00FD0B39"/>
    <w:rsid w:val="00FD108E"/>
    <w:rsid w:val="00FD17F0"/>
    <w:rsid w:val="00FD2FC2"/>
    <w:rsid w:val="00FD3A62"/>
    <w:rsid w:val="00FD4158"/>
    <w:rsid w:val="00FD492A"/>
    <w:rsid w:val="00FD4DCF"/>
    <w:rsid w:val="00FD4E7B"/>
    <w:rsid w:val="00FD560A"/>
    <w:rsid w:val="00FD58C5"/>
    <w:rsid w:val="00FD6BE1"/>
    <w:rsid w:val="00FE08CE"/>
    <w:rsid w:val="00FE1304"/>
    <w:rsid w:val="00FE1E72"/>
    <w:rsid w:val="00FE30A7"/>
    <w:rsid w:val="00FE3229"/>
    <w:rsid w:val="00FE3C57"/>
    <w:rsid w:val="00FE6626"/>
    <w:rsid w:val="00FE69AC"/>
    <w:rsid w:val="00FE6DF0"/>
    <w:rsid w:val="00FE779F"/>
    <w:rsid w:val="00FF19F0"/>
    <w:rsid w:val="00FF2DD4"/>
    <w:rsid w:val="00FF5B89"/>
    <w:rsid w:val="00FF5FAF"/>
    <w:rsid w:val="00FF5FB6"/>
    <w:rsid w:val="00FF6065"/>
    <w:rsid w:val="00FF61EA"/>
    <w:rsid w:val="00FF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90F0"/>
  <w15:docId w15:val="{E5BFFB37-A370-4C5B-8C08-2C1875F7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6674"/>
  </w:style>
  <w:style w:type="paragraph" w:styleId="Heading1">
    <w:name w:val="heading 1"/>
    <w:basedOn w:val="Normal"/>
    <w:link w:val="Heading1Char"/>
    <w:uiPriority w:val="9"/>
    <w:qFormat/>
    <w:rsid w:val="003403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E1B"/>
    <w:rPr>
      <w:color w:val="0000FF" w:themeColor="hyperlink"/>
      <w:u w:val="single"/>
    </w:rPr>
  </w:style>
  <w:style w:type="paragraph" w:styleId="BalloonText">
    <w:name w:val="Balloon Text"/>
    <w:basedOn w:val="Normal"/>
    <w:link w:val="BalloonTextChar"/>
    <w:uiPriority w:val="99"/>
    <w:semiHidden/>
    <w:unhideWhenUsed/>
    <w:rsid w:val="000B1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332"/>
    <w:rPr>
      <w:rFonts w:ascii="Tahoma" w:hAnsi="Tahoma" w:cs="Tahoma"/>
      <w:sz w:val="16"/>
      <w:szCs w:val="16"/>
    </w:rPr>
  </w:style>
  <w:style w:type="paragraph" w:styleId="Header">
    <w:name w:val="header"/>
    <w:basedOn w:val="Normal"/>
    <w:link w:val="HeaderChar"/>
    <w:uiPriority w:val="99"/>
    <w:unhideWhenUsed/>
    <w:rsid w:val="00401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ED8"/>
  </w:style>
  <w:style w:type="paragraph" w:styleId="Footer">
    <w:name w:val="footer"/>
    <w:basedOn w:val="Normal"/>
    <w:link w:val="FooterChar"/>
    <w:uiPriority w:val="99"/>
    <w:unhideWhenUsed/>
    <w:rsid w:val="00401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ED8"/>
  </w:style>
  <w:style w:type="table" w:styleId="TableGrid">
    <w:name w:val="Table Grid"/>
    <w:basedOn w:val="TableNormal"/>
    <w:uiPriority w:val="39"/>
    <w:rsid w:val="00A31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70A88"/>
    <w:pPr>
      <w:spacing w:after="0" w:line="240" w:lineRule="auto"/>
      <w:ind w:left="720" w:hanging="720"/>
    </w:pPr>
  </w:style>
  <w:style w:type="character" w:styleId="PlaceholderText">
    <w:name w:val="Placeholder Text"/>
    <w:basedOn w:val="DefaultParagraphFont"/>
    <w:uiPriority w:val="99"/>
    <w:semiHidden/>
    <w:rsid w:val="0026370A"/>
    <w:rPr>
      <w:color w:val="808080"/>
    </w:rPr>
  </w:style>
  <w:style w:type="character" w:customStyle="1" w:styleId="Heading1Char">
    <w:name w:val="Heading 1 Char"/>
    <w:basedOn w:val="DefaultParagraphFont"/>
    <w:link w:val="Heading1"/>
    <w:uiPriority w:val="9"/>
    <w:rsid w:val="003403EF"/>
    <w:rPr>
      <w:rFonts w:ascii="Times New Roman" w:eastAsia="Times New Roman" w:hAnsi="Times New Roman" w:cs="Times New Roman"/>
      <w:b/>
      <w:bCs/>
      <w:kern w:val="36"/>
      <w:sz w:val="48"/>
      <w:szCs w:val="48"/>
    </w:rPr>
  </w:style>
  <w:style w:type="paragraph" w:customStyle="1" w:styleId="rug-list--bulletsitem">
    <w:name w:val="rug-list--bullets__item"/>
    <w:basedOn w:val="Normal"/>
    <w:rsid w:val="003053EB"/>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89268E"/>
    <w:rPr>
      <w:i/>
      <w:iCs/>
    </w:rPr>
  </w:style>
  <w:style w:type="character" w:customStyle="1" w:styleId="UnresolvedMention1">
    <w:name w:val="Unresolved Mention1"/>
    <w:basedOn w:val="DefaultParagraphFont"/>
    <w:uiPriority w:val="99"/>
    <w:semiHidden/>
    <w:unhideWhenUsed/>
    <w:rsid w:val="0089268E"/>
    <w:rPr>
      <w:color w:val="605E5C"/>
      <w:shd w:val="clear" w:color="auto" w:fill="E1DFDD"/>
    </w:rPr>
  </w:style>
  <w:style w:type="character" w:styleId="Emphasis">
    <w:name w:val="Emphasis"/>
    <w:basedOn w:val="DefaultParagraphFont"/>
    <w:uiPriority w:val="20"/>
    <w:qFormat/>
    <w:rsid w:val="0026573E"/>
    <w:rPr>
      <w:i/>
      <w:iCs/>
    </w:rPr>
  </w:style>
  <w:style w:type="paragraph" w:styleId="FootnoteText">
    <w:name w:val="footnote text"/>
    <w:basedOn w:val="Normal"/>
    <w:link w:val="FootnoteTextChar"/>
    <w:uiPriority w:val="99"/>
    <w:unhideWhenUsed/>
    <w:rsid w:val="00017C51"/>
    <w:pPr>
      <w:spacing w:after="0" w:line="240" w:lineRule="auto"/>
    </w:pPr>
    <w:rPr>
      <w:sz w:val="20"/>
      <w:szCs w:val="20"/>
    </w:rPr>
  </w:style>
  <w:style w:type="character" w:customStyle="1" w:styleId="FootnoteTextChar">
    <w:name w:val="Footnote Text Char"/>
    <w:basedOn w:val="DefaultParagraphFont"/>
    <w:link w:val="FootnoteText"/>
    <w:uiPriority w:val="99"/>
    <w:rsid w:val="00017C51"/>
    <w:rPr>
      <w:sz w:val="20"/>
      <w:szCs w:val="20"/>
    </w:rPr>
  </w:style>
  <w:style w:type="character" w:styleId="FootnoteReference">
    <w:name w:val="footnote reference"/>
    <w:basedOn w:val="DefaultParagraphFont"/>
    <w:semiHidden/>
    <w:unhideWhenUsed/>
    <w:rsid w:val="00017C51"/>
    <w:rPr>
      <w:vertAlign w:val="superscript"/>
    </w:rPr>
  </w:style>
  <w:style w:type="character" w:styleId="EndnoteReference">
    <w:name w:val="endnote reference"/>
    <w:basedOn w:val="DefaultParagraphFont"/>
    <w:uiPriority w:val="99"/>
    <w:semiHidden/>
    <w:unhideWhenUsed/>
    <w:rsid w:val="00A80007"/>
    <w:rPr>
      <w:vertAlign w:val="superscript"/>
    </w:rPr>
  </w:style>
  <w:style w:type="character" w:styleId="CommentReference">
    <w:name w:val="annotation reference"/>
    <w:basedOn w:val="DefaultParagraphFont"/>
    <w:uiPriority w:val="99"/>
    <w:semiHidden/>
    <w:unhideWhenUsed/>
    <w:rsid w:val="005D46D8"/>
    <w:rPr>
      <w:sz w:val="16"/>
      <w:szCs w:val="16"/>
    </w:rPr>
  </w:style>
  <w:style w:type="paragraph" w:styleId="CommentText">
    <w:name w:val="annotation text"/>
    <w:basedOn w:val="Normal"/>
    <w:link w:val="CommentTextChar"/>
    <w:uiPriority w:val="99"/>
    <w:semiHidden/>
    <w:unhideWhenUsed/>
    <w:rsid w:val="005D46D8"/>
    <w:pPr>
      <w:spacing w:line="240" w:lineRule="auto"/>
    </w:pPr>
    <w:rPr>
      <w:sz w:val="20"/>
      <w:szCs w:val="20"/>
    </w:rPr>
  </w:style>
  <w:style w:type="character" w:customStyle="1" w:styleId="CommentTextChar">
    <w:name w:val="Comment Text Char"/>
    <w:basedOn w:val="DefaultParagraphFont"/>
    <w:link w:val="CommentText"/>
    <w:uiPriority w:val="99"/>
    <w:semiHidden/>
    <w:rsid w:val="005D46D8"/>
    <w:rPr>
      <w:sz w:val="20"/>
      <w:szCs w:val="20"/>
    </w:rPr>
  </w:style>
  <w:style w:type="paragraph" w:styleId="CommentSubject">
    <w:name w:val="annotation subject"/>
    <w:basedOn w:val="CommentText"/>
    <w:next w:val="CommentText"/>
    <w:link w:val="CommentSubjectChar"/>
    <w:uiPriority w:val="99"/>
    <w:semiHidden/>
    <w:unhideWhenUsed/>
    <w:rsid w:val="005D46D8"/>
    <w:rPr>
      <w:b/>
      <w:bCs/>
    </w:rPr>
  </w:style>
  <w:style w:type="character" w:customStyle="1" w:styleId="CommentSubjectChar">
    <w:name w:val="Comment Subject Char"/>
    <w:basedOn w:val="CommentTextChar"/>
    <w:link w:val="CommentSubject"/>
    <w:uiPriority w:val="99"/>
    <w:semiHidden/>
    <w:rsid w:val="005D46D8"/>
    <w:rPr>
      <w:b/>
      <w:bCs/>
      <w:sz w:val="20"/>
      <w:szCs w:val="20"/>
    </w:rPr>
  </w:style>
  <w:style w:type="character" w:styleId="UnresolvedMention">
    <w:name w:val="Unresolved Mention"/>
    <w:basedOn w:val="DefaultParagraphFont"/>
    <w:uiPriority w:val="99"/>
    <w:semiHidden/>
    <w:unhideWhenUsed/>
    <w:rsid w:val="001E3DDF"/>
    <w:rPr>
      <w:color w:val="605E5C"/>
      <w:shd w:val="clear" w:color="auto" w:fill="E1DFDD"/>
    </w:rPr>
  </w:style>
  <w:style w:type="paragraph" w:customStyle="1" w:styleId="MDPI31text">
    <w:name w:val="MDPI_3.1_text"/>
    <w:qFormat/>
    <w:rsid w:val="00BF2499"/>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paragraph" w:styleId="ListParagraph">
    <w:name w:val="List Paragraph"/>
    <w:basedOn w:val="Normal"/>
    <w:uiPriority w:val="34"/>
    <w:qFormat/>
    <w:rsid w:val="00BF3434"/>
    <w:pPr>
      <w:ind w:left="720"/>
      <w:contextualSpacing/>
    </w:pPr>
  </w:style>
  <w:style w:type="character" w:styleId="Strong">
    <w:name w:val="Strong"/>
    <w:basedOn w:val="DefaultParagraphFont"/>
    <w:uiPriority w:val="22"/>
    <w:qFormat/>
    <w:rsid w:val="007C1EC8"/>
    <w:rPr>
      <w:b/>
      <w:bCs/>
    </w:rPr>
  </w:style>
  <w:style w:type="character" w:customStyle="1" w:styleId="title-text">
    <w:name w:val="title-text"/>
    <w:basedOn w:val="DefaultParagraphFont"/>
    <w:rsid w:val="007C1EC8"/>
  </w:style>
  <w:style w:type="character" w:customStyle="1" w:styleId="sr-only">
    <w:name w:val="sr-only"/>
    <w:basedOn w:val="DefaultParagraphFont"/>
    <w:rsid w:val="007C1EC8"/>
  </w:style>
  <w:style w:type="character" w:customStyle="1" w:styleId="text">
    <w:name w:val="text"/>
    <w:basedOn w:val="DefaultParagraphFont"/>
    <w:rsid w:val="007C1EC8"/>
  </w:style>
  <w:style w:type="character" w:customStyle="1" w:styleId="author-ref">
    <w:name w:val="author-ref"/>
    <w:basedOn w:val="DefaultParagraphFont"/>
    <w:rsid w:val="007C1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76490">
      <w:bodyDiv w:val="1"/>
      <w:marLeft w:val="0"/>
      <w:marRight w:val="0"/>
      <w:marTop w:val="0"/>
      <w:marBottom w:val="0"/>
      <w:divBdr>
        <w:top w:val="none" w:sz="0" w:space="0" w:color="auto"/>
        <w:left w:val="none" w:sz="0" w:space="0" w:color="auto"/>
        <w:bottom w:val="none" w:sz="0" w:space="0" w:color="auto"/>
        <w:right w:val="none" w:sz="0" w:space="0" w:color="auto"/>
      </w:divBdr>
    </w:div>
    <w:div w:id="102767555">
      <w:bodyDiv w:val="1"/>
      <w:marLeft w:val="0"/>
      <w:marRight w:val="0"/>
      <w:marTop w:val="0"/>
      <w:marBottom w:val="0"/>
      <w:divBdr>
        <w:top w:val="none" w:sz="0" w:space="0" w:color="auto"/>
        <w:left w:val="none" w:sz="0" w:space="0" w:color="auto"/>
        <w:bottom w:val="none" w:sz="0" w:space="0" w:color="auto"/>
        <w:right w:val="none" w:sz="0" w:space="0" w:color="auto"/>
      </w:divBdr>
      <w:divsChild>
        <w:div w:id="1979144659">
          <w:marLeft w:val="0"/>
          <w:marRight w:val="0"/>
          <w:marTop w:val="0"/>
          <w:marBottom w:val="0"/>
          <w:divBdr>
            <w:top w:val="none" w:sz="0" w:space="0" w:color="auto"/>
            <w:left w:val="none" w:sz="0" w:space="0" w:color="auto"/>
            <w:bottom w:val="none" w:sz="0" w:space="0" w:color="auto"/>
            <w:right w:val="none" w:sz="0" w:space="0" w:color="auto"/>
          </w:divBdr>
          <w:divsChild>
            <w:div w:id="8227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5134">
      <w:bodyDiv w:val="1"/>
      <w:marLeft w:val="0"/>
      <w:marRight w:val="0"/>
      <w:marTop w:val="0"/>
      <w:marBottom w:val="0"/>
      <w:divBdr>
        <w:top w:val="none" w:sz="0" w:space="0" w:color="auto"/>
        <w:left w:val="none" w:sz="0" w:space="0" w:color="auto"/>
        <w:bottom w:val="none" w:sz="0" w:space="0" w:color="auto"/>
        <w:right w:val="none" w:sz="0" w:space="0" w:color="auto"/>
      </w:divBdr>
    </w:div>
    <w:div w:id="236672466">
      <w:bodyDiv w:val="1"/>
      <w:marLeft w:val="0"/>
      <w:marRight w:val="0"/>
      <w:marTop w:val="0"/>
      <w:marBottom w:val="0"/>
      <w:divBdr>
        <w:top w:val="none" w:sz="0" w:space="0" w:color="auto"/>
        <w:left w:val="none" w:sz="0" w:space="0" w:color="auto"/>
        <w:bottom w:val="none" w:sz="0" w:space="0" w:color="auto"/>
        <w:right w:val="none" w:sz="0" w:space="0" w:color="auto"/>
      </w:divBdr>
    </w:div>
    <w:div w:id="267200764">
      <w:bodyDiv w:val="1"/>
      <w:marLeft w:val="0"/>
      <w:marRight w:val="0"/>
      <w:marTop w:val="0"/>
      <w:marBottom w:val="0"/>
      <w:divBdr>
        <w:top w:val="none" w:sz="0" w:space="0" w:color="auto"/>
        <w:left w:val="none" w:sz="0" w:space="0" w:color="auto"/>
        <w:bottom w:val="none" w:sz="0" w:space="0" w:color="auto"/>
        <w:right w:val="none" w:sz="0" w:space="0" w:color="auto"/>
      </w:divBdr>
    </w:div>
    <w:div w:id="300506100">
      <w:bodyDiv w:val="1"/>
      <w:marLeft w:val="0"/>
      <w:marRight w:val="0"/>
      <w:marTop w:val="0"/>
      <w:marBottom w:val="0"/>
      <w:divBdr>
        <w:top w:val="none" w:sz="0" w:space="0" w:color="auto"/>
        <w:left w:val="none" w:sz="0" w:space="0" w:color="auto"/>
        <w:bottom w:val="none" w:sz="0" w:space="0" w:color="auto"/>
        <w:right w:val="none" w:sz="0" w:space="0" w:color="auto"/>
      </w:divBdr>
    </w:div>
    <w:div w:id="313993909">
      <w:bodyDiv w:val="1"/>
      <w:marLeft w:val="0"/>
      <w:marRight w:val="0"/>
      <w:marTop w:val="0"/>
      <w:marBottom w:val="0"/>
      <w:divBdr>
        <w:top w:val="none" w:sz="0" w:space="0" w:color="auto"/>
        <w:left w:val="none" w:sz="0" w:space="0" w:color="auto"/>
        <w:bottom w:val="none" w:sz="0" w:space="0" w:color="auto"/>
        <w:right w:val="none" w:sz="0" w:space="0" w:color="auto"/>
      </w:divBdr>
      <w:divsChild>
        <w:div w:id="849638756">
          <w:marLeft w:val="0"/>
          <w:marRight w:val="0"/>
          <w:marTop w:val="0"/>
          <w:marBottom w:val="0"/>
          <w:divBdr>
            <w:top w:val="none" w:sz="0" w:space="0" w:color="auto"/>
            <w:left w:val="none" w:sz="0" w:space="0" w:color="auto"/>
            <w:bottom w:val="none" w:sz="0" w:space="0" w:color="auto"/>
            <w:right w:val="none" w:sz="0" w:space="0" w:color="auto"/>
          </w:divBdr>
          <w:divsChild>
            <w:div w:id="1492135327">
              <w:marLeft w:val="0"/>
              <w:marRight w:val="0"/>
              <w:marTop w:val="0"/>
              <w:marBottom w:val="0"/>
              <w:divBdr>
                <w:top w:val="none" w:sz="0" w:space="0" w:color="auto"/>
                <w:left w:val="none" w:sz="0" w:space="0" w:color="auto"/>
                <w:bottom w:val="none" w:sz="0" w:space="0" w:color="auto"/>
                <w:right w:val="none" w:sz="0" w:space="0" w:color="auto"/>
              </w:divBdr>
            </w:div>
          </w:divsChild>
        </w:div>
        <w:div w:id="465900626">
          <w:marLeft w:val="0"/>
          <w:marRight w:val="0"/>
          <w:marTop w:val="0"/>
          <w:marBottom w:val="0"/>
          <w:divBdr>
            <w:top w:val="none" w:sz="0" w:space="0" w:color="auto"/>
            <w:left w:val="none" w:sz="0" w:space="0" w:color="auto"/>
            <w:bottom w:val="none" w:sz="0" w:space="0" w:color="auto"/>
            <w:right w:val="none" w:sz="0" w:space="0" w:color="auto"/>
          </w:divBdr>
        </w:div>
      </w:divsChild>
    </w:div>
    <w:div w:id="329020584">
      <w:bodyDiv w:val="1"/>
      <w:marLeft w:val="0"/>
      <w:marRight w:val="0"/>
      <w:marTop w:val="0"/>
      <w:marBottom w:val="0"/>
      <w:divBdr>
        <w:top w:val="none" w:sz="0" w:space="0" w:color="auto"/>
        <w:left w:val="none" w:sz="0" w:space="0" w:color="auto"/>
        <w:bottom w:val="none" w:sz="0" w:space="0" w:color="auto"/>
        <w:right w:val="none" w:sz="0" w:space="0" w:color="auto"/>
      </w:divBdr>
    </w:div>
    <w:div w:id="415055262">
      <w:bodyDiv w:val="1"/>
      <w:marLeft w:val="0"/>
      <w:marRight w:val="0"/>
      <w:marTop w:val="0"/>
      <w:marBottom w:val="0"/>
      <w:divBdr>
        <w:top w:val="none" w:sz="0" w:space="0" w:color="auto"/>
        <w:left w:val="none" w:sz="0" w:space="0" w:color="auto"/>
        <w:bottom w:val="none" w:sz="0" w:space="0" w:color="auto"/>
        <w:right w:val="none" w:sz="0" w:space="0" w:color="auto"/>
      </w:divBdr>
    </w:div>
    <w:div w:id="541984732">
      <w:bodyDiv w:val="1"/>
      <w:marLeft w:val="0"/>
      <w:marRight w:val="0"/>
      <w:marTop w:val="0"/>
      <w:marBottom w:val="0"/>
      <w:divBdr>
        <w:top w:val="none" w:sz="0" w:space="0" w:color="auto"/>
        <w:left w:val="none" w:sz="0" w:space="0" w:color="auto"/>
        <w:bottom w:val="none" w:sz="0" w:space="0" w:color="auto"/>
        <w:right w:val="none" w:sz="0" w:space="0" w:color="auto"/>
      </w:divBdr>
    </w:div>
    <w:div w:id="656617624">
      <w:bodyDiv w:val="1"/>
      <w:marLeft w:val="0"/>
      <w:marRight w:val="0"/>
      <w:marTop w:val="0"/>
      <w:marBottom w:val="0"/>
      <w:divBdr>
        <w:top w:val="none" w:sz="0" w:space="0" w:color="auto"/>
        <w:left w:val="none" w:sz="0" w:space="0" w:color="auto"/>
        <w:bottom w:val="none" w:sz="0" w:space="0" w:color="auto"/>
        <w:right w:val="none" w:sz="0" w:space="0" w:color="auto"/>
      </w:divBdr>
    </w:div>
    <w:div w:id="699864180">
      <w:bodyDiv w:val="1"/>
      <w:marLeft w:val="0"/>
      <w:marRight w:val="0"/>
      <w:marTop w:val="0"/>
      <w:marBottom w:val="0"/>
      <w:divBdr>
        <w:top w:val="none" w:sz="0" w:space="0" w:color="auto"/>
        <w:left w:val="none" w:sz="0" w:space="0" w:color="auto"/>
        <w:bottom w:val="none" w:sz="0" w:space="0" w:color="auto"/>
        <w:right w:val="none" w:sz="0" w:space="0" w:color="auto"/>
      </w:divBdr>
    </w:div>
    <w:div w:id="724766974">
      <w:bodyDiv w:val="1"/>
      <w:marLeft w:val="0"/>
      <w:marRight w:val="0"/>
      <w:marTop w:val="0"/>
      <w:marBottom w:val="0"/>
      <w:divBdr>
        <w:top w:val="none" w:sz="0" w:space="0" w:color="auto"/>
        <w:left w:val="none" w:sz="0" w:space="0" w:color="auto"/>
        <w:bottom w:val="none" w:sz="0" w:space="0" w:color="auto"/>
        <w:right w:val="none" w:sz="0" w:space="0" w:color="auto"/>
      </w:divBdr>
    </w:div>
    <w:div w:id="874077769">
      <w:bodyDiv w:val="1"/>
      <w:marLeft w:val="0"/>
      <w:marRight w:val="0"/>
      <w:marTop w:val="0"/>
      <w:marBottom w:val="0"/>
      <w:divBdr>
        <w:top w:val="none" w:sz="0" w:space="0" w:color="auto"/>
        <w:left w:val="none" w:sz="0" w:space="0" w:color="auto"/>
        <w:bottom w:val="none" w:sz="0" w:space="0" w:color="auto"/>
        <w:right w:val="none" w:sz="0" w:space="0" w:color="auto"/>
      </w:divBdr>
    </w:div>
    <w:div w:id="889146215">
      <w:bodyDiv w:val="1"/>
      <w:marLeft w:val="0"/>
      <w:marRight w:val="0"/>
      <w:marTop w:val="0"/>
      <w:marBottom w:val="0"/>
      <w:divBdr>
        <w:top w:val="none" w:sz="0" w:space="0" w:color="auto"/>
        <w:left w:val="none" w:sz="0" w:space="0" w:color="auto"/>
        <w:bottom w:val="none" w:sz="0" w:space="0" w:color="auto"/>
        <w:right w:val="none" w:sz="0" w:space="0" w:color="auto"/>
      </w:divBdr>
    </w:div>
    <w:div w:id="953368509">
      <w:bodyDiv w:val="1"/>
      <w:marLeft w:val="0"/>
      <w:marRight w:val="0"/>
      <w:marTop w:val="0"/>
      <w:marBottom w:val="0"/>
      <w:divBdr>
        <w:top w:val="none" w:sz="0" w:space="0" w:color="auto"/>
        <w:left w:val="none" w:sz="0" w:space="0" w:color="auto"/>
        <w:bottom w:val="none" w:sz="0" w:space="0" w:color="auto"/>
        <w:right w:val="none" w:sz="0" w:space="0" w:color="auto"/>
      </w:divBdr>
      <w:divsChild>
        <w:div w:id="58504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42151">
      <w:bodyDiv w:val="1"/>
      <w:marLeft w:val="0"/>
      <w:marRight w:val="0"/>
      <w:marTop w:val="0"/>
      <w:marBottom w:val="0"/>
      <w:divBdr>
        <w:top w:val="none" w:sz="0" w:space="0" w:color="auto"/>
        <w:left w:val="none" w:sz="0" w:space="0" w:color="auto"/>
        <w:bottom w:val="none" w:sz="0" w:space="0" w:color="auto"/>
        <w:right w:val="none" w:sz="0" w:space="0" w:color="auto"/>
      </w:divBdr>
      <w:divsChild>
        <w:div w:id="1802767469">
          <w:marLeft w:val="619"/>
          <w:marRight w:val="0"/>
          <w:marTop w:val="173"/>
          <w:marBottom w:val="0"/>
          <w:divBdr>
            <w:top w:val="none" w:sz="0" w:space="0" w:color="auto"/>
            <w:left w:val="none" w:sz="0" w:space="0" w:color="auto"/>
            <w:bottom w:val="none" w:sz="0" w:space="0" w:color="auto"/>
            <w:right w:val="none" w:sz="0" w:space="0" w:color="auto"/>
          </w:divBdr>
        </w:div>
      </w:divsChild>
    </w:div>
    <w:div w:id="1121001110">
      <w:bodyDiv w:val="1"/>
      <w:marLeft w:val="0"/>
      <w:marRight w:val="0"/>
      <w:marTop w:val="0"/>
      <w:marBottom w:val="0"/>
      <w:divBdr>
        <w:top w:val="none" w:sz="0" w:space="0" w:color="auto"/>
        <w:left w:val="none" w:sz="0" w:space="0" w:color="auto"/>
        <w:bottom w:val="none" w:sz="0" w:space="0" w:color="auto"/>
        <w:right w:val="none" w:sz="0" w:space="0" w:color="auto"/>
      </w:divBdr>
    </w:div>
    <w:div w:id="1134906813">
      <w:bodyDiv w:val="1"/>
      <w:marLeft w:val="0"/>
      <w:marRight w:val="0"/>
      <w:marTop w:val="0"/>
      <w:marBottom w:val="0"/>
      <w:divBdr>
        <w:top w:val="none" w:sz="0" w:space="0" w:color="auto"/>
        <w:left w:val="none" w:sz="0" w:space="0" w:color="auto"/>
        <w:bottom w:val="none" w:sz="0" w:space="0" w:color="auto"/>
        <w:right w:val="none" w:sz="0" w:space="0" w:color="auto"/>
      </w:divBdr>
    </w:div>
    <w:div w:id="1145123054">
      <w:bodyDiv w:val="1"/>
      <w:marLeft w:val="0"/>
      <w:marRight w:val="0"/>
      <w:marTop w:val="0"/>
      <w:marBottom w:val="0"/>
      <w:divBdr>
        <w:top w:val="none" w:sz="0" w:space="0" w:color="auto"/>
        <w:left w:val="none" w:sz="0" w:space="0" w:color="auto"/>
        <w:bottom w:val="none" w:sz="0" w:space="0" w:color="auto"/>
        <w:right w:val="none" w:sz="0" w:space="0" w:color="auto"/>
      </w:divBdr>
    </w:div>
    <w:div w:id="1170607253">
      <w:bodyDiv w:val="1"/>
      <w:marLeft w:val="0"/>
      <w:marRight w:val="0"/>
      <w:marTop w:val="0"/>
      <w:marBottom w:val="0"/>
      <w:divBdr>
        <w:top w:val="none" w:sz="0" w:space="0" w:color="auto"/>
        <w:left w:val="none" w:sz="0" w:space="0" w:color="auto"/>
        <w:bottom w:val="none" w:sz="0" w:space="0" w:color="auto"/>
        <w:right w:val="none" w:sz="0" w:space="0" w:color="auto"/>
      </w:divBdr>
    </w:div>
    <w:div w:id="1198279858">
      <w:bodyDiv w:val="1"/>
      <w:marLeft w:val="0"/>
      <w:marRight w:val="0"/>
      <w:marTop w:val="0"/>
      <w:marBottom w:val="0"/>
      <w:divBdr>
        <w:top w:val="none" w:sz="0" w:space="0" w:color="auto"/>
        <w:left w:val="none" w:sz="0" w:space="0" w:color="auto"/>
        <w:bottom w:val="none" w:sz="0" w:space="0" w:color="auto"/>
        <w:right w:val="none" w:sz="0" w:space="0" w:color="auto"/>
      </w:divBdr>
    </w:div>
    <w:div w:id="1228223323">
      <w:bodyDiv w:val="1"/>
      <w:marLeft w:val="0"/>
      <w:marRight w:val="0"/>
      <w:marTop w:val="0"/>
      <w:marBottom w:val="0"/>
      <w:divBdr>
        <w:top w:val="none" w:sz="0" w:space="0" w:color="auto"/>
        <w:left w:val="none" w:sz="0" w:space="0" w:color="auto"/>
        <w:bottom w:val="none" w:sz="0" w:space="0" w:color="auto"/>
        <w:right w:val="none" w:sz="0" w:space="0" w:color="auto"/>
      </w:divBdr>
    </w:div>
    <w:div w:id="1354764865">
      <w:bodyDiv w:val="1"/>
      <w:marLeft w:val="0"/>
      <w:marRight w:val="0"/>
      <w:marTop w:val="0"/>
      <w:marBottom w:val="0"/>
      <w:divBdr>
        <w:top w:val="none" w:sz="0" w:space="0" w:color="auto"/>
        <w:left w:val="none" w:sz="0" w:space="0" w:color="auto"/>
        <w:bottom w:val="none" w:sz="0" w:space="0" w:color="auto"/>
        <w:right w:val="none" w:sz="0" w:space="0" w:color="auto"/>
      </w:divBdr>
    </w:div>
    <w:div w:id="1519585985">
      <w:bodyDiv w:val="1"/>
      <w:marLeft w:val="0"/>
      <w:marRight w:val="0"/>
      <w:marTop w:val="0"/>
      <w:marBottom w:val="0"/>
      <w:divBdr>
        <w:top w:val="none" w:sz="0" w:space="0" w:color="auto"/>
        <w:left w:val="none" w:sz="0" w:space="0" w:color="auto"/>
        <w:bottom w:val="none" w:sz="0" w:space="0" w:color="auto"/>
        <w:right w:val="none" w:sz="0" w:space="0" w:color="auto"/>
      </w:divBdr>
    </w:div>
    <w:div w:id="1571233916">
      <w:bodyDiv w:val="1"/>
      <w:marLeft w:val="0"/>
      <w:marRight w:val="0"/>
      <w:marTop w:val="0"/>
      <w:marBottom w:val="0"/>
      <w:divBdr>
        <w:top w:val="none" w:sz="0" w:space="0" w:color="auto"/>
        <w:left w:val="none" w:sz="0" w:space="0" w:color="auto"/>
        <w:bottom w:val="none" w:sz="0" w:space="0" w:color="auto"/>
        <w:right w:val="none" w:sz="0" w:space="0" w:color="auto"/>
      </w:divBdr>
    </w:div>
    <w:div w:id="1675111766">
      <w:bodyDiv w:val="1"/>
      <w:marLeft w:val="0"/>
      <w:marRight w:val="0"/>
      <w:marTop w:val="0"/>
      <w:marBottom w:val="0"/>
      <w:divBdr>
        <w:top w:val="none" w:sz="0" w:space="0" w:color="auto"/>
        <w:left w:val="none" w:sz="0" w:space="0" w:color="auto"/>
        <w:bottom w:val="none" w:sz="0" w:space="0" w:color="auto"/>
        <w:right w:val="none" w:sz="0" w:space="0" w:color="auto"/>
      </w:divBdr>
      <w:divsChild>
        <w:div w:id="1354914341">
          <w:marLeft w:val="0"/>
          <w:marRight w:val="0"/>
          <w:marTop w:val="0"/>
          <w:marBottom w:val="0"/>
          <w:divBdr>
            <w:top w:val="none" w:sz="0" w:space="0" w:color="auto"/>
            <w:left w:val="none" w:sz="0" w:space="0" w:color="auto"/>
            <w:bottom w:val="none" w:sz="0" w:space="0" w:color="auto"/>
            <w:right w:val="none" w:sz="0" w:space="0" w:color="auto"/>
          </w:divBdr>
          <w:divsChild>
            <w:div w:id="19008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8155">
      <w:bodyDiv w:val="1"/>
      <w:marLeft w:val="0"/>
      <w:marRight w:val="0"/>
      <w:marTop w:val="0"/>
      <w:marBottom w:val="0"/>
      <w:divBdr>
        <w:top w:val="none" w:sz="0" w:space="0" w:color="auto"/>
        <w:left w:val="none" w:sz="0" w:space="0" w:color="auto"/>
        <w:bottom w:val="none" w:sz="0" w:space="0" w:color="auto"/>
        <w:right w:val="none" w:sz="0" w:space="0" w:color="auto"/>
      </w:divBdr>
    </w:div>
    <w:div w:id="1691763378">
      <w:bodyDiv w:val="1"/>
      <w:marLeft w:val="0"/>
      <w:marRight w:val="0"/>
      <w:marTop w:val="0"/>
      <w:marBottom w:val="0"/>
      <w:divBdr>
        <w:top w:val="none" w:sz="0" w:space="0" w:color="auto"/>
        <w:left w:val="none" w:sz="0" w:space="0" w:color="auto"/>
        <w:bottom w:val="none" w:sz="0" w:space="0" w:color="auto"/>
        <w:right w:val="none" w:sz="0" w:space="0" w:color="auto"/>
      </w:divBdr>
      <w:divsChild>
        <w:div w:id="1014041309">
          <w:marLeft w:val="0"/>
          <w:marRight w:val="0"/>
          <w:marTop w:val="0"/>
          <w:marBottom w:val="0"/>
          <w:divBdr>
            <w:top w:val="none" w:sz="0" w:space="0" w:color="auto"/>
            <w:left w:val="none" w:sz="0" w:space="0" w:color="auto"/>
            <w:bottom w:val="none" w:sz="0" w:space="0" w:color="auto"/>
            <w:right w:val="none" w:sz="0" w:space="0" w:color="auto"/>
          </w:divBdr>
        </w:div>
        <w:div w:id="1494024782">
          <w:marLeft w:val="0"/>
          <w:marRight w:val="0"/>
          <w:marTop w:val="0"/>
          <w:marBottom w:val="0"/>
          <w:divBdr>
            <w:top w:val="none" w:sz="0" w:space="0" w:color="auto"/>
            <w:left w:val="none" w:sz="0" w:space="0" w:color="auto"/>
            <w:bottom w:val="none" w:sz="0" w:space="0" w:color="auto"/>
            <w:right w:val="none" w:sz="0" w:space="0" w:color="auto"/>
          </w:divBdr>
        </w:div>
      </w:divsChild>
    </w:div>
    <w:div w:id="1752969035">
      <w:bodyDiv w:val="1"/>
      <w:marLeft w:val="0"/>
      <w:marRight w:val="0"/>
      <w:marTop w:val="0"/>
      <w:marBottom w:val="0"/>
      <w:divBdr>
        <w:top w:val="none" w:sz="0" w:space="0" w:color="auto"/>
        <w:left w:val="none" w:sz="0" w:space="0" w:color="auto"/>
        <w:bottom w:val="none" w:sz="0" w:space="0" w:color="auto"/>
        <w:right w:val="none" w:sz="0" w:space="0" w:color="auto"/>
      </w:divBdr>
      <w:divsChild>
        <w:div w:id="989597046">
          <w:marLeft w:val="0"/>
          <w:marRight w:val="0"/>
          <w:marTop w:val="0"/>
          <w:marBottom w:val="0"/>
          <w:divBdr>
            <w:top w:val="none" w:sz="0" w:space="0" w:color="auto"/>
            <w:left w:val="none" w:sz="0" w:space="0" w:color="auto"/>
            <w:bottom w:val="none" w:sz="0" w:space="0" w:color="auto"/>
            <w:right w:val="none" w:sz="0" w:space="0" w:color="auto"/>
          </w:divBdr>
          <w:divsChild>
            <w:div w:id="1478767508">
              <w:marLeft w:val="0"/>
              <w:marRight w:val="0"/>
              <w:marTop w:val="0"/>
              <w:marBottom w:val="0"/>
              <w:divBdr>
                <w:top w:val="none" w:sz="0" w:space="0" w:color="auto"/>
                <w:left w:val="none" w:sz="0" w:space="0" w:color="auto"/>
                <w:bottom w:val="none" w:sz="0" w:space="0" w:color="auto"/>
                <w:right w:val="none" w:sz="0" w:space="0" w:color="auto"/>
              </w:divBdr>
            </w:div>
          </w:divsChild>
        </w:div>
        <w:div w:id="1744180762">
          <w:marLeft w:val="0"/>
          <w:marRight w:val="0"/>
          <w:marTop w:val="0"/>
          <w:marBottom w:val="0"/>
          <w:divBdr>
            <w:top w:val="none" w:sz="0" w:space="0" w:color="auto"/>
            <w:left w:val="none" w:sz="0" w:space="0" w:color="auto"/>
            <w:bottom w:val="none" w:sz="0" w:space="0" w:color="auto"/>
            <w:right w:val="none" w:sz="0" w:space="0" w:color="auto"/>
          </w:divBdr>
        </w:div>
      </w:divsChild>
    </w:div>
    <w:div w:id="1783761520">
      <w:bodyDiv w:val="1"/>
      <w:marLeft w:val="0"/>
      <w:marRight w:val="0"/>
      <w:marTop w:val="0"/>
      <w:marBottom w:val="0"/>
      <w:divBdr>
        <w:top w:val="none" w:sz="0" w:space="0" w:color="auto"/>
        <w:left w:val="none" w:sz="0" w:space="0" w:color="auto"/>
        <w:bottom w:val="none" w:sz="0" w:space="0" w:color="auto"/>
        <w:right w:val="none" w:sz="0" w:space="0" w:color="auto"/>
      </w:divBdr>
      <w:divsChild>
        <w:div w:id="153766449">
          <w:marLeft w:val="0"/>
          <w:marRight w:val="0"/>
          <w:marTop w:val="0"/>
          <w:marBottom w:val="0"/>
          <w:divBdr>
            <w:top w:val="none" w:sz="0" w:space="0" w:color="auto"/>
            <w:left w:val="none" w:sz="0" w:space="0" w:color="auto"/>
            <w:bottom w:val="none" w:sz="0" w:space="0" w:color="auto"/>
            <w:right w:val="none" w:sz="0" w:space="0" w:color="auto"/>
          </w:divBdr>
          <w:divsChild>
            <w:div w:id="586424876">
              <w:marLeft w:val="0"/>
              <w:marRight w:val="0"/>
              <w:marTop w:val="0"/>
              <w:marBottom w:val="0"/>
              <w:divBdr>
                <w:top w:val="none" w:sz="0" w:space="0" w:color="auto"/>
                <w:left w:val="none" w:sz="0" w:space="0" w:color="auto"/>
                <w:bottom w:val="none" w:sz="0" w:space="0" w:color="auto"/>
                <w:right w:val="none" w:sz="0" w:space="0" w:color="auto"/>
              </w:divBdr>
              <w:divsChild>
                <w:div w:id="1430735918">
                  <w:marLeft w:val="0"/>
                  <w:marRight w:val="0"/>
                  <w:marTop w:val="0"/>
                  <w:marBottom w:val="0"/>
                  <w:divBdr>
                    <w:top w:val="none" w:sz="0" w:space="0" w:color="auto"/>
                    <w:left w:val="none" w:sz="0" w:space="0" w:color="auto"/>
                    <w:bottom w:val="none" w:sz="0" w:space="0" w:color="auto"/>
                    <w:right w:val="none" w:sz="0" w:space="0" w:color="auto"/>
                  </w:divBdr>
                  <w:divsChild>
                    <w:div w:id="16169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9331">
      <w:bodyDiv w:val="1"/>
      <w:marLeft w:val="0"/>
      <w:marRight w:val="0"/>
      <w:marTop w:val="0"/>
      <w:marBottom w:val="0"/>
      <w:divBdr>
        <w:top w:val="none" w:sz="0" w:space="0" w:color="auto"/>
        <w:left w:val="none" w:sz="0" w:space="0" w:color="auto"/>
        <w:bottom w:val="none" w:sz="0" w:space="0" w:color="auto"/>
        <w:right w:val="none" w:sz="0" w:space="0" w:color="auto"/>
      </w:divBdr>
    </w:div>
    <w:div w:id="1819177917">
      <w:bodyDiv w:val="1"/>
      <w:marLeft w:val="0"/>
      <w:marRight w:val="0"/>
      <w:marTop w:val="0"/>
      <w:marBottom w:val="0"/>
      <w:divBdr>
        <w:top w:val="none" w:sz="0" w:space="0" w:color="auto"/>
        <w:left w:val="none" w:sz="0" w:space="0" w:color="auto"/>
        <w:bottom w:val="none" w:sz="0" w:space="0" w:color="auto"/>
        <w:right w:val="none" w:sz="0" w:space="0" w:color="auto"/>
      </w:divBdr>
    </w:div>
    <w:div w:id="1850288246">
      <w:bodyDiv w:val="1"/>
      <w:marLeft w:val="0"/>
      <w:marRight w:val="0"/>
      <w:marTop w:val="0"/>
      <w:marBottom w:val="0"/>
      <w:divBdr>
        <w:top w:val="none" w:sz="0" w:space="0" w:color="auto"/>
        <w:left w:val="none" w:sz="0" w:space="0" w:color="auto"/>
        <w:bottom w:val="none" w:sz="0" w:space="0" w:color="auto"/>
        <w:right w:val="none" w:sz="0" w:space="0" w:color="auto"/>
      </w:divBdr>
    </w:div>
    <w:div w:id="1901088243">
      <w:bodyDiv w:val="1"/>
      <w:marLeft w:val="0"/>
      <w:marRight w:val="0"/>
      <w:marTop w:val="0"/>
      <w:marBottom w:val="0"/>
      <w:divBdr>
        <w:top w:val="none" w:sz="0" w:space="0" w:color="auto"/>
        <w:left w:val="none" w:sz="0" w:space="0" w:color="auto"/>
        <w:bottom w:val="none" w:sz="0" w:space="0" w:color="auto"/>
        <w:right w:val="none" w:sz="0" w:space="0" w:color="auto"/>
      </w:divBdr>
      <w:divsChild>
        <w:div w:id="1289817916">
          <w:marLeft w:val="619"/>
          <w:marRight w:val="0"/>
          <w:marTop w:val="173"/>
          <w:marBottom w:val="0"/>
          <w:divBdr>
            <w:top w:val="none" w:sz="0" w:space="0" w:color="auto"/>
            <w:left w:val="none" w:sz="0" w:space="0" w:color="auto"/>
            <w:bottom w:val="none" w:sz="0" w:space="0" w:color="auto"/>
            <w:right w:val="none" w:sz="0" w:space="0" w:color="auto"/>
          </w:divBdr>
        </w:div>
      </w:divsChild>
    </w:div>
    <w:div w:id="1914386243">
      <w:bodyDiv w:val="1"/>
      <w:marLeft w:val="0"/>
      <w:marRight w:val="0"/>
      <w:marTop w:val="0"/>
      <w:marBottom w:val="0"/>
      <w:divBdr>
        <w:top w:val="none" w:sz="0" w:space="0" w:color="auto"/>
        <w:left w:val="none" w:sz="0" w:space="0" w:color="auto"/>
        <w:bottom w:val="none" w:sz="0" w:space="0" w:color="auto"/>
        <w:right w:val="none" w:sz="0" w:space="0" w:color="auto"/>
      </w:divBdr>
    </w:div>
    <w:div w:id="1917083661">
      <w:bodyDiv w:val="1"/>
      <w:marLeft w:val="0"/>
      <w:marRight w:val="0"/>
      <w:marTop w:val="0"/>
      <w:marBottom w:val="0"/>
      <w:divBdr>
        <w:top w:val="none" w:sz="0" w:space="0" w:color="auto"/>
        <w:left w:val="none" w:sz="0" w:space="0" w:color="auto"/>
        <w:bottom w:val="none" w:sz="0" w:space="0" w:color="auto"/>
        <w:right w:val="none" w:sz="0" w:space="0" w:color="auto"/>
      </w:divBdr>
    </w:div>
    <w:div w:id="1956059215">
      <w:bodyDiv w:val="1"/>
      <w:marLeft w:val="0"/>
      <w:marRight w:val="0"/>
      <w:marTop w:val="0"/>
      <w:marBottom w:val="0"/>
      <w:divBdr>
        <w:top w:val="none" w:sz="0" w:space="0" w:color="auto"/>
        <w:left w:val="none" w:sz="0" w:space="0" w:color="auto"/>
        <w:bottom w:val="none" w:sz="0" w:space="0" w:color="auto"/>
        <w:right w:val="none" w:sz="0" w:space="0" w:color="auto"/>
      </w:divBdr>
    </w:div>
    <w:div w:id="2010676396">
      <w:bodyDiv w:val="1"/>
      <w:marLeft w:val="0"/>
      <w:marRight w:val="0"/>
      <w:marTop w:val="0"/>
      <w:marBottom w:val="0"/>
      <w:divBdr>
        <w:top w:val="none" w:sz="0" w:space="0" w:color="auto"/>
        <w:left w:val="none" w:sz="0" w:space="0" w:color="auto"/>
        <w:bottom w:val="none" w:sz="0" w:space="0" w:color="auto"/>
        <w:right w:val="none" w:sz="0" w:space="0" w:color="auto"/>
      </w:divBdr>
    </w:div>
    <w:div w:id="213058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adorsky@schulich.yorku.ca"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policyuncertainty.co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AA017CB-7C5D-4B24-9E74-7689EE29F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41</Pages>
  <Words>36233</Words>
  <Characters>206530</Characters>
  <Application>Microsoft Office Word</Application>
  <DocSecurity>0</DocSecurity>
  <Lines>1721</Lines>
  <Paragraphs>484</Paragraphs>
  <ScaleCrop>false</ScaleCrop>
  <HeadingPairs>
    <vt:vector size="2" baseType="variant">
      <vt:variant>
        <vt:lpstr>Title</vt:lpstr>
      </vt:variant>
      <vt:variant>
        <vt:i4>1</vt:i4>
      </vt:variant>
    </vt:vector>
  </HeadingPairs>
  <TitlesOfParts>
    <vt:vector size="1" baseType="lpstr">
      <vt:lpstr/>
    </vt:vector>
  </TitlesOfParts>
  <Company>Schulich School of Business</Company>
  <LinksUpToDate>false</LinksUpToDate>
  <CharactersWithSpaces>242279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Schulich School of Business</dc:creator>
  <cp:keywords/>
  <dc:description/>
  <cp:lastModifiedBy>Perry A Sadorsky</cp:lastModifiedBy>
  <cp:revision>101</cp:revision>
  <cp:lastPrinted>2020-01-20T02:13:00Z</cp:lastPrinted>
  <dcterms:created xsi:type="dcterms:W3CDTF">2022-08-30T15:33:00Z</dcterms:created>
  <dcterms:modified xsi:type="dcterms:W3CDTF">2022-10-20T15:54:00Z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id="0sL12rHV"/&gt;&lt;style id="http://www.zotero.org/styles/energy-economics" hasBibliography="1" bibliographyStyleHasBeenSet="1"/&gt;&lt;prefs&gt;&lt;pref name="fieldType" value="Field"/&gt;&lt;/prefs&gt;&lt;/data&gt;</vt:lpwstr>
  </property>
</Properties>
</file>