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Xb28f432995494cf7c237cabf2e233745b30f9a1"/>
    <w:p>
      <w:pPr>
        <w:pStyle w:val="Heading1"/>
      </w:pPr>
      <w:r>
        <w:t xml:space="preserve">Comprensión lectora y pensamiento crítico en castellano: Perú, América Latina y el mundo hispanohablante (evidencia 2022-2026)</w:t>
      </w:r>
    </w:p>
    <w:p>
      <w:pPr>
        <w:pStyle w:val="FirstParagraph"/>
      </w:pPr>
      <w:r>
        <w:rPr>
          <w:b/>
          <w:bCs/>
        </w:rPr>
        <w:t xml:space="preserve">Para:</w:t>
      </w:r>
      <w:r>
        <w:t xml:space="preserve"> </w:t>
      </w:r>
      <w:r>
        <w:t xml:space="preserve">Omar Roca Cuya y su equipo, track Educación Escolar de Hack the Andes (Lima, 17-18 de octubre de 2026).</w:t>
      </w:r>
      <w:r>
        <w:t xml:space="preserve"> </w:t>
      </w:r>
      <w:r>
        <w:rPr>
          <w:b/>
          <w:bCs/>
        </w:rPr>
        <w:t xml:space="preserve">Fase 1 de 2.</w:t>
      </w:r>
      <w:r>
        <w:t xml:space="preserve"> </w:t>
      </w:r>
      <w:r>
        <w:t xml:space="preserve">Complementa el informe anterior sobre EIB y quechua chanka (</w:t>
      </w:r>
      <w:r>
        <w:rPr>
          <w:rStyle w:val="VerbatimChar"/>
        </w:rPr>
        <w:t xml:space="preserve">research_comprension_lectora_EIB.md</w:t>
      </w:r>
      <w:r>
        <w:t xml:space="preserve">). Aquí el foco es la lectura</w:t>
      </w:r>
      <w:r>
        <w:t xml:space="preserve"> </w:t>
      </w:r>
      <w:r>
        <w:rPr>
          <w:b/>
          <w:bCs/>
        </w:rPr>
        <w:t xml:space="preserve">en castellano</w:t>
      </w:r>
      <w:r>
        <w:t xml:space="preserve"> </w:t>
      </w:r>
      <w:r>
        <w:t xml:space="preserve">para todos los estudiantes.</w:t>
      </w:r>
      <w:r>
        <w:t xml:space="preserve"> </w:t>
      </w:r>
      <w:r>
        <w:rPr>
          <w:b/>
          <w:bCs/>
        </w:rPr>
        <w:t xml:space="preserve">Fecha de corte:</w:t>
      </w:r>
      <w:r>
        <w:t xml:space="preserve"> </w:t>
      </w:r>
      <w:r>
        <w:t xml:space="preserve">17 de octubre de 2026.</w:t>
      </w:r>
    </w:p>
    <w:p>
      <w:r>
        <w:pict>
          <v:rect style="width:0;height:1.5pt" o:hralign="center" o:hrstd="t" o:hr="t"/>
        </w:pict>
      </w:r>
    </w:p>
    <w:bookmarkStart w:id="9" w:name="resumen-ejecutivo"/>
    <w:p>
      <w:pPr>
        <w:pStyle w:val="Heading2"/>
      </w:pPr>
      <w:r>
        <w:t xml:space="preserve">0. Resumen ejecutivo</w:t>
      </w:r>
    </w:p>
    <w:p>
      <w:pPr>
        <w:pStyle w:val="Compact"/>
        <w:numPr>
          <w:ilvl w:val="0"/>
          <w:numId w:val="1001"/>
        </w:numPr>
      </w:pPr>
      <w:r>
        <w:rPr>
          <w:b/>
          <w:bCs/>
        </w:rPr>
        <w:t xml:space="preserve">El Perú lee mal y, cuanto más avanza la escolaridad, peor.</w:t>
      </w:r>
    </w:p>
    <w:p>
      <w:pPr>
        <w:pStyle w:val="Compact"/>
        <w:numPr>
          <w:ilvl w:val="1"/>
          <w:numId w:val="1002"/>
        </w:numPr>
      </w:pPr>
      <w:r>
        <w:rPr>
          <w:b/>
          <w:bCs/>
        </w:rPr>
        <w:t xml:space="preserve">ENLA 2025:</w:t>
      </w:r>
      <w:r>
        <w:t xml:space="preserve"> </w:t>
      </w:r>
      <w:r>
        <w:t xml:space="preserve">alcanzó el nivel Satisfactorio en Lectura el</w:t>
      </w:r>
      <w:r>
        <w:t xml:space="preserve"> </w:t>
      </w:r>
      <w:r>
        <w:rPr>
          <w:b/>
          <w:bCs/>
        </w:rPr>
        <w:t xml:space="preserve">32,7 %</w:t>
      </w:r>
      <w:r>
        <w:t xml:space="preserve"> </w:t>
      </w:r>
      <w:r>
        <w:t xml:space="preserve">en 4.° de primaria, el</w:t>
      </w:r>
      <w:r>
        <w:t xml:space="preserve"> </w:t>
      </w:r>
      <w:r>
        <w:rPr>
          <w:b/>
          <w:bCs/>
        </w:rPr>
        <w:t xml:space="preserve">18,5 %</w:t>
      </w:r>
      <w:r>
        <w:t xml:space="preserve"> </w:t>
      </w:r>
      <w:r>
        <w:t xml:space="preserve">en 2.° de secundaria y solo el</w:t>
      </w:r>
      <w:r>
        <w:t xml:space="preserve"> </w:t>
      </w:r>
      <w:r>
        <w:rPr>
          <w:b/>
          <w:bCs/>
        </w:rPr>
        <w:t xml:space="preserve">11,3 %</w:t>
      </w:r>
      <w:r>
        <w:t xml:space="preserve"> </w:t>
      </w:r>
      <w:r>
        <w:t xml:space="preserve">en 5.° de secundaria.</w:t>
      </w:r>
    </w:p>
    <w:p>
      <w:pPr>
        <w:pStyle w:val="Compact"/>
        <w:numPr>
          <w:ilvl w:val="1"/>
          <w:numId w:val="1002"/>
        </w:numPr>
      </w:pPr>
      <w:r>
        <w:t xml:space="preserve">La cohorte que estaba en 4.° grado en 2018 (34,8 % Satisfactorio) terminó la secundaria en 2025 con 11,3 %. Las pruebas no son equivalentes, pero la tendencia es clara.</w:t>
      </w:r>
    </w:p>
    <w:p>
      <w:pPr>
        <w:pStyle w:val="Compact"/>
        <w:numPr>
          <w:ilvl w:val="1"/>
          <w:numId w:val="1002"/>
        </w:numPr>
      </w:pPr>
      <w:r>
        <w:t xml:space="preserve">En 5.° de secundaria, la UMC describe dificultades justamente en</w:t>
      </w:r>
      <w:r>
        <w:t xml:space="preserve"> </w:t>
      </w:r>
      <w:r>
        <w:rPr>
          <w:b/>
          <w:bCs/>
        </w:rPr>
        <w:t xml:space="preserve">inferir, integrar, distinguir hechos de opiniones y evaluar la confiabilidad de los textos</w:t>
      </w:r>
      <w:r>
        <w:t xml:space="preserve">. Es decir, en el pensamiento crítico aplicado a la lectura.</w:t>
      </w:r>
    </w:p>
    <w:p>
      <w:pPr>
        <w:pStyle w:val="Compact"/>
        <w:numPr>
          <w:ilvl w:val="0"/>
          <w:numId w:val="1001"/>
        </w:numPr>
      </w:pPr>
      <w:r>
        <w:rPr>
          <w:b/>
          <w:bCs/>
        </w:rPr>
        <w:t xml:space="preserve">PISA 2025 (publicado el 8 de septiembre de 2026) muestra un retroceso.</w:t>
      </w:r>
    </w:p>
    <w:p>
      <w:pPr>
        <w:pStyle w:val="Compact"/>
        <w:numPr>
          <w:ilvl w:val="1"/>
          <w:numId w:val="1003"/>
        </w:numPr>
      </w:pPr>
      <w:r>
        <w:t xml:space="preserve">El Perú obtuvo</w:t>
      </w:r>
      <w:r>
        <w:t xml:space="preserve"> </w:t>
      </w:r>
      <w:r>
        <w:rPr>
          <w:b/>
          <w:bCs/>
        </w:rPr>
        <w:t xml:space="preserve">390 puntos en lectura (−18 frente a 2022)</w:t>
      </w:r>
      <w:r>
        <w:t xml:space="preserve">. Solo el</w:t>
      </w:r>
      <w:r>
        <w:t xml:space="preserve"> </w:t>
      </w:r>
      <w:r>
        <w:rPr>
          <w:b/>
          <w:bCs/>
        </w:rPr>
        <w:t xml:space="preserve">42 %</w:t>
      </w:r>
      <w:r>
        <w:t xml:space="preserve"> </w:t>
      </w:r>
      <w:r>
        <w:t xml:space="preserve">de los jóvenes de 15 años alcanza el nivel 2 (OCDE: 69 %), y casi nadie llega al nivel 5, que exige distinguir hechos de opiniones a partir de pistas implícitas.</w:t>
      </w:r>
    </w:p>
    <w:p>
      <w:pPr>
        <w:pStyle w:val="Compact"/>
        <w:numPr>
          <w:ilvl w:val="1"/>
          <w:numId w:val="1003"/>
        </w:numPr>
      </w:pPr>
      <w:r>
        <w:t xml:space="preserve">América Latina bajó de 399 a 389 puntos de promedio. España registró su peor resultado histórico (−23 puntos en lectura).</w:t>
      </w:r>
    </w:p>
    <w:p>
      <w:pPr>
        <w:pStyle w:val="Compact"/>
        <w:numPr>
          <w:ilvl w:val="1"/>
          <w:numId w:val="1003"/>
        </w:numPr>
      </w:pPr>
      <w:r>
        <w:t xml:space="preserve">Según la nota de la OCDE para el Perú, el</w:t>
      </w:r>
      <w:r>
        <w:t xml:space="preserve"> </w:t>
      </w:r>
      <w:r>
        <w:rPr>
          <w:b/>
          <w:bCs/>
        </w:rPr>
        <w:t xml:space="preserve">54 %</w:t>
      </w:r>
      <w:r>
        <w:t xml:space="preserve"> </w:t>
      </w:r>
      <w:r>
        <w:t xml:space="preserve">de los estudiantes peruanos usa chatbots de IA al menos una vez por semana para aprender, y el</w:t>
      </w:r>
      <w:r>
        <w:t xml:space="preserve"> </w:t>
      </w:r>
      <w:r>
        <w:rPr>
          <w:b/>
          <w:bCs/>
        </w:rPr>
        <w:t xml:space="preserve">40 %</w:t>
      </w:r>
      <w:r>
        <w:t xml:space="preserve"> </w:t>
      </w:r>
      <w:r>
        <w:t xml:space="preserve">los usa para resumir textos que debía leer.</w:t>
      </w:r>
    </w:p>
    <w:p>
      <w:pPr>
        <w:pStyle w:val="Compact"/>
        <w:numPr>
          <w:ilvl w:val="0"/>
          <w:numId w:val="1001"/>
        </w:numPr>
      </w:pPr>
      <w:r>
        <w:rPr>
          <w:b/>
          <w:bCs/>
        </w:rPr>
        <w:t xml:space="preserve">Las brechas son estructurales.</w:t>
      </w:r>
      <w:r>
        <w:t xml:space="preserve"> </w:t>
      </w:r>
      <w:r>
        <w:t xml:space="preserve">En 4.° de primaria (ENLA 2025):</w:t>
      </w:r>
    </w:p>
    <w:p>
      <w:pPr>
        <w:pStyle w:val="Compact"/>
        <w:numPr>
          <w:ilvl w:val="1"/>
          <w:numId w:val="1004"/>
        </w:numPr>
      </w:pPr>
      <w:r>
        <w:t xml:space="preserve">urbano cerca de 35,5 % frente a rural 16,9 %;</w:t>
      </w:r>
    </w:p>
    <w:p>
      <w:pPr>
        <w:pStyle w:val="Compact"/>
        <w:numPr>
          <w:ilvl w:val="1"/>
          <w:numId w:val="1004"/>
        </w:numPr>
      </w:pPr>
      <w:r>
        <w:t xml:space="preserve">privado cerca de 41 % frente a público cerca de 29 %;</w:t>
      </w:r>
    </w:p>
    <w:p>
      <w:pPr>
        <w:pStyle w:val="Compact"/>
        <w:numPr>
          <w:ilvl w:val="1"/>
          <w:numId w:val="1004"/>
        </w:numPr>
      </w:pPr>
      <w:r>
        <w:t xml:space="preserve">NSE alto 54 % frente a NSE muy bajo 21,2 %.</w:t>
      </w:r>
    </w:p>
    <w:p>
      <w:pPr>
        <w:pStyle w:val="Compact"/>
        <w:numPr>
          <w:ilvl w:val="0"/>
          <w:numId w:val="1001"/>
        </w:numPr>
      </w:pPr>
      <w:r>
        <w:rPr>
          <w:b/>
          <w:bCs/>
        </w:rPr>
        <w:t xml:space="preserve">La pandemia golpeó menos a la lectura peruana que a la matemática, pero amplió las brechas.</w:t>
      </w:r>
    </w:p>
    <w:p>
      <w:pPr>
        <w:pStyle w:val="Compact"/>
        <w:numPr>
          <w:ilvl w:val="1"/>
          <w:numId w:val="1005"/>
        </w:numPr>
      </w:pPr>
      <w:r>
        <w:t xml:space="preserve">En 4.° de primaria se pasó de 34,5 % a 30,0 % en el nivel Satisfactorio (2019 frente a 2022), y la recuperación llegó en 2024.</w:t>
      </w:r>
    </w:p>
    <w:p>
      <w:pPr>
        <w:pStyle w:val="Compact"/>
        <w:numPr>
          <w:ilvl w:val="1"/>
          <w:numId w:val="1005"/>
        </w:numPr>
      </w:pPr>
      <w:r>
        <w:t xml:space="preserve">La distancia entre la escuela rural y la privada subió de 61 a 68 puntos.</w:t>
      </w:r>
    </w:p>
    <w:p>
      <w:pPr>
        <w:pStyle w:val="Compact"/>
        <w:numPr>
          <w:ilvl w:val="1"/>
          <w:numId w:val="1005"/>
        </w:numPr>
      </w:pPr>
      <w:r>
        <w:t xml:space="preserve">En la región, el Banco Mundial y UNICEF proyectaron en 2022 que 4 de cada 5 alumnos de 6.° grado no alcanzarían la comprensión lectora mínima.</w:t>
      </w:r>
    </w:p>
    <w:p>
      <w:pPr>
        <w:pStyle w:val="Compact"/>
        <w:numPr>
          <w:ilvl w:val="0"/>
          <w:numId w:val="1001"/>
        </w:numPr>
      </w:pPr>
      <w:r>
        <w:rPr>
          <w:b/>
          <w:bCs/>
        </w:rPr>
        <w:t xml:space="preserve">La transición a la universidad hereda el problema.</w:t>
      </w:r>
    </w:p>
    <w:p>
      <w:pPr>
        <w:pStyle w:val="Compact"/>
        <w:numPr>
          <w:ilvl w:val="1"/>
          <w:numId w:val="1006"/>
        </w:numPr>
      </w:pPr>
      <w:r>
        <w:t xml:space="preserve">Los ingresantes peruanos muestran bajo nivel inferencial (Arequipa, 2022) y predominio del nivel literal (Lima, 2025).</w:t>
      </w:r>
    </w:p>
    <w:p>
      <w:pPr>
        <w:pStyle w:val="Compact"/>
        <w:numPr>
          <w:ilvl w:val="1"/>
          <w:numId w:val="1006"/>
        </w:numPr>
      </w:pPr>
      <w:r>
        <w:t xml:space="preserve">En PIAAC, los adultos del Perú, Chile, México y Ecuador no llegan en promedio al nivel 3 de lectura, ni siquiera con estudios superiores.</w:t>
      </w:r>
    </w:p>
    <w:p>
      <w:pPr>
        <w:pStyle w:val="Compact"/>
        <w:numPr>
          <w:ilvl w:val="0"/>
          <w:numId w:val="1001"/>
        </w:numPr>
      </w:pPr>
      <w:r>
        <w:rPr>
          <w:b/>
          <w:bCs/>
        </w:rPr>
        <w:t xml:space="preserve">Hay intervenciones en castellano con evidencia experimental.</w:t>
      </w:r>
    </w:p>
    <w:p>
      <w:pPr>
        <w:pStyle w:val="Compact"/>
        <w:numPr>
          <w:ilvl w:val="1"/>
          <w:numId w:val="1007"/>
        </w:numPr>
      </w:pPr>
      <w:r>
        <w:t xml:space="preserve">Formación docente con materiales estructurados (</w:t>
      </w:r>
      <w:r>
        <w:t xml:space="preserve">“Leamos todos”</w:t>
      </w:r>
      <w:r>
        <w:t xml:space="preserve">, Colombia):</w:t>
      </w:r>
      <w:r>
        <w:t xml:space="preserve"> </w:t>
      </w:r>
      <w:r>
        <w:rPr>
          <w:b/>
          <w:bCs/>
        </w:rPr>
        <w:t xml:space="preserve">+0,386 DE</w:t>
      </w:r>
      <w:r>
        <w:t xml:space="preserve">.</w:t>
      </w:r>
    </w:p>
    <w:p>
      <w:pPr>
        <w:pStyle w:val="Compact"/>
        <w:numPr>
          <w:ilvl w:val="1"/>
          <w:numId w:val="1007"/>
        </w:numPr>
      </w:pPr>
      <w:r>
        <w:t xml:space="preserve">Tutoría telefónica en lenguaje (Paraguay):</w:t>
      </w:r>
      <w:r>
        <w:t xml:space="preserve"> </w:t>
      </w:r>
      <w:r>
        <w:rPr>
          <w:b/>
          <w:bCs/>
        </w:rPr>
        <w:t xml:space="preserve">+0,11 DE</w:t>
      </w:r>
      <w:r>
        <w:t xml:space="preserve">.</w:t>
      </w:r>
    </w:p>
    <w:p>
      <w:pPr>
        <w:pStyle w:val="Compact"/>
        <w:numPr>
          <w:ilvl w:val="1"/>
          <w:numId w:val="1007"/>
        </w:numPr>
      </w:pPr>
      <w:r>
        <w:t xml:space="preserve">Lectura en pares (Chile): d = 0,67, en un diseño no aleatorio.</w:t>
      </w:r>
    </w:p>
    <w:p>
      <w:pPr>
        <w:pStyle w:val="Compact"/>
        <w:numPr>
          <w:ilvl w:val="1"/>
          <w:numId w:val="1007"/>
        </w:numPr>
      </w:pPr>
      <w:r>
        <w:t xml:space="preserve">La IA tiene evidencia todavía débil en castellano, y PISA 2025 advierte que usar la IA para</w:t>
      </w:r>
      <w:r>
        <w:t xml:space="preserve"> </w:t>
      </w:r>
      <w:r>
        <w:rPr>
          <w:i/>
          <w:iCs/>
        </w:rPr>
        <w:t xml:space="preserve">reemplazar</w:t>
      </w:r>
      <w:r>
        <w:t xml:space="preserve"> </w:t>
      </w:r>
      <w:r>
        <w:t xml:space="preserve">procesos como resumir o redactar se asocia con peor desempeño.</w:t>
      </w:r>
    </w:p>
    <w:p>
      <w:pPr>
        <w:pStyle w:val="Compact"/>
        <w:numPr>
          <w:ilvl w:val="0"/>
          <w:numId w:val="1001"/>
        </w:numPr>
      </w:pPr>
      <w:r>
        <w:rPr>
          <w:b/>
          <w:bCs/>
        </w:rPr>
        <w:t xml:space="preserve">Implicancia para la hipótesis de Omar.</w:t>
      </w:r>
    </w:p>
    <w:p>
      <w:pPr>
        <w:pStyle w:val="Compact"/>
        <w:numPr>
          <w:ilvl w:val="1"/>
          <w:numId w:val="1008"/>
        </w:numPr>
      </w:pPr>
      <w:r>
        <w:t xml:space="preserve">Los datos en castellano</w:t>
      </w:r>
      <w:r>
        <w:t xml:space="preserve"> </w:t>
      </w:r>
      <w:r>
        <w:rPr>
          <w:b/>
          <w:bCs/>
        </w:rPr>
        <w:t xml:space="preserve">refuerzan</w:t>
      </w:r>
      <w:r>
        <w:t xml:space="preserve"> </w:t>
      </w:r>
      <w:r>
        <w:t xml:space="preserve">que la comprensión lectora sostiene el pensamiento crítico. Las propias pruebas (PISA y ENLA) definen los niveles altos de lectura como evaluación crítica, y es ahí donde el sistema falla más.</w:t>
      </w:r>
    </w:p>
    <w:p>
      <w:pPr>
        <w:pStyle w:val="Compact"/>
        <w:numPr>
          <w:ilvl w:val="1"/>
          <w:numId w:val="1008"/>
        </w:numPr>
      </w:pPr>
      <w:r>
        <w:t xml:space="preserve">Matiz: en los primeros grados el cuello de botella en castellano sigue siendo la</w:t>
      </w:r>
      <w:r>
        <w:t xml:space="preserve"> </w:t>
      </w:r>
      <w:r>
        <w:rPr>
          <w:b/>
          <w:bCs/>
        </w:rPr>
        <w:t xml:space="preserve">decodificación automática y el vocabulario</w:t>
      </w:r>
      <w:r>
        <w:t xml:space="preserve"> </w:t>
      </w:r>
      <w:r>
        <w:t xml:space="preserve">(Chile, 2025; República Dominicana, 2022). En secundaria pasa a ser la</w:t>
      </w:r>
      <w:r>
        <w:t xml:space="preserve"> </w:t>
      </w:r>
      <w:r>
        <w:rPr>
          <w:b/>
          <w:bCs/>
        </w:rPr>
        <w:t xml:space="preserve">inferencia y la evaluación</w:t>
      </w:r>
      <w:r>
        <w:t xml:space="preserve">.</w:t>
      </w:r>
    </w:p>
    <w:p>
      <w:pPr>
        <w:pStyle w:val="Compact"/>
        <w:numPr>
          <w:ilvl w:val="1"/>
          <w:numId w:val="1008"/>
        </w:numPr>
      </w:pPr>
      <w:r>
        <w:t xml:space="preserve">Una solución debe saber</w:t>
      </w:r>
      <w:r>
        <w:t xml:space="preserve"> </w:t>
      </w:r>
      <w:r>
        <w:rPr>
          <w:b/>
          <w:bCs/>
        </w:rPr>
        <w:t xml:space="preserve">en qué eslabón está cada estudiante</w:t>
      </w:r>
      <w:r>
        <w:t xml:space="preserve">.</w:t>
      </w:r>
    </w:p>
    <w:p>
      <w:pPr>
        <w:pStyle w:val="FirstParagraph"/>
      </w:pPr>
      <w:r>
        <w:rPr>
          <w:b/>
          <w:bCs/>
        </w:rPr>
        <w:t xml:space="preserve">Conteos:</w:t>
      </w:r>
      <w:r>
        <w:t xml:space="preserve"> </w:t>
      </w:r>
      <w:r>
        <w:t xml:space="preserve">42 artículos 2022-2026 verificados (sección 6), 14 fuentes de datos oficiales o institucionales (secciones 2 y 3), 10 intervenciones con evidencia (sección 7) y 9 productos edtech en castellano (sección 7.2).</w:t>
      </w:r>
    </w:p>
    <w:p>
      <w:r>
        <w:pict>
          <v:rect style="width:0;height:1.5pt" o:hralign="center" o:hrstd="t" o:hr="t"/>
        </w:pict>
      </w:r>
    </w:p>
    <w:bookmarkEnd w:id="9"/>
    <w:bookmarkStart w:id="10" w:name="método-y-convenciones"/>
    <w:p>
      <w:pPr>
        <w:pStyle w:val="Heading2"/>
      </w:pPr>
      <w:r>
        <w:t xml:space="preserve">1. Método y convenciones</w:t>
      </w:r>
    </w:p>
    <w:p>
      <w:pPr>
        <w:pStyle w:val="Compact"/>
        <w:numPr>
          <w:ilvl w:val="0"/>
          <w:numId w:val="1009"/>
        </w:numPr>
      </w:pPr>
      <w:r>
        <w:rPr>
          <w:b/>
          <w:bCs/>
        </w:rPr>
        <w:t xml:space="preserve">Verificación de artículos.</w:t>
      </w:r>
      <w:r>
        <w:t xml:space="preserve"> </w:t>
      </w:r>
      <w:r>
        <w:t xml:space="preserve">Todos se verificaron por DOI en OpenAlex, leyendo el resumen. Cuando el resumen no estaba disponible se indica</w:t>
      </w:r>
      <w:r>
        <w:t xml:space="preserve"> </w:t>
      </w:r>
      <w:r>
        <w:t xml:space="preserve">“resumen no recuperado”</w:t>
      </w:r>
      <w:r>
        <w:t xml:space="preserve">.</w:t>
      </w:r>
    </w:p>
    <w:p>
      <w:pPr>
        <w:pStyle w:val="Compact"/>
        <w:numPr>
          <w:ilvl w:val="0"/>
          <w:numId w:val="1009"/>
        </w:numPr>
      </w:pPr>
      <w:r>
        <w:rPr>
          <w:b/>
          <w:bCs/>
        </w:rPr>
        <w:t xml:space="preserve">Datos oficiales.</w:t>
      </w:r>
      <w:r>
        <w:t xml:space="preserve"> </w:t>
      </w:r>
      <w:r>
        <w:t xml:space="preserve">Provienen de páginas de la OCDE, el Minedu-UMC, el Banco Mundial, la UNESCO-LLECE y el BID.</w:t>
      </w:r>
    </w:p>
    <w:p>
      <w:pPr>
        <w:pStyle w:val="Compact"/>
        <w:numPr>
          <w:ilvl w:val="0"/>
          <w:numId w:val="1009"/>
        </w:numPr>
      </w:pPr>
      <w:r>
        <w:rPr>
          <w:b/>
          <w:bCs/>
        </w:rPr>
        <w:t xml:space="preserve">Marcas de fuente:</w:t>
      </w:r>
    </w:p>
    <w:p>
      <w:pPr>
        <w:pStyle w:val="Compact"/>
        <w:numPr>
          <w:ilvl w:val="1"/>
          <w:numId w:val="1010"/>
        </w:numPr>
      </w:pPr>
      <w:r>
        <w:rPr>
          <w:b/>
          <w:bCs/>
        </w:rPr>
        <w:t xml:space="preserve">[P]</w:t>
      </w:r>
      <w:r>
        <w:t xml:space="preserve">: fuente primaria.</w:t>
      </w:r>
    </w:p>
    <w:p>
      <w:pPr>
        <w:pStyle w:val="Compact"/>
        <w:numPr>
          <w:ilvl w:val="1"/>
          <w:numId w:val="1010"/>
        </w:numPr>
      </w:pPr>
      <w:r>
        <w:rPr>
          <w:b/>
          <w:bCs/>
        </w:rPr>
        <w:t xml:space="preserve">[S]</w:t>
      </w:r>
      <w:r>
        <w:t xml:space="preserve">: fuente secundaria (prensa, blog o síntesis que cita la fuente oficial).</w:t>
      </w:r>
    </w:p>
    <w:p>
      <w:pPr>
        <w:pStyle w:val="Compact"/>
        <w:numPr>
          <w:ilvl w:val="1"/>
          <w:numId w:val="1010"/>
        </w:numPr>
      </w:pPr>
      <w:r>
        <w:rPr>
          <w:b/>
          <w:bCs/>
        </w:rPr>
        <w:t xml:space="preserve">[V]</w:t>
      </w:r>
      <w:r>
        <w:t xml:space="preserve">: dato que hay que verificar manualmente antes del pitch.</w:t>
      </w:r>
    </w:p>
    <w:p>
      <w:pPr>
        <w:pStyle w:val="Compact"/>
        <w:numPr>
          <w:ilvl w:val="0"/>
          <w:numId w:val="1009"/>
        </w:numPr>
      </w:pPr>
      <w:r>
        <w:rPr>
          <w:b/>
          <w:bCs/>
        </w:rPr>
        <w:t xml:space="preserve">Acceso a la UMC.</w:t>
      </w:r>
      <w:r>
        <w:t xml:space="preserve"> </w:t>
      </w:r>
      <w:r>
        <w:t xml:space="preserve">Los PDF de la UMC no descargaron desde nuestro servidor (el servidor no respondió). Algunas cifras por estrato de la ENLA 2025 provienen de un análisis publicado que cita a la UMC, y van marcadas [S].</w:t>
      </w:r>
    </w:p>
    <w:p>
      <w:pPr>
        <w:pStyle w:val="Compact"/>
        <w:numPr>
          <w:ilvl w:val="0"/>
          <w:numId w:val="1009"/>
        </w:numPr>
      </w:pPr>
      <w:r>
        <w:rPr>
          <w:b/>
          <w:bCs/>
        </w:rPr>
        <w:t xml:space="preserve">Calidad de la evidencia.</w:t>
      </w:r>
      <w:r>
        <w:t xml:space="preserve"> </w:t>
      </w:r>
      <w:r>
        <w:t xml:space="preserve">Muchos estudios peruanos son correlacionales, con cuestionarios de autorreporte y muestras pequeñas. Se incluyen como señal y se marca su debilidad.</w:t>
      </w:r>
    </w:p>
    <w:p>
      <w:r>
        <w:pict>
          <v:rect style="width:0;height:1.5pt" o:hralign="center" o:hrstd="t" o:hr="t"/>
        </w:pict>
      </w:r>
    </w:p>
    <w:bookmarkEnd w:id="10"/>
    <w:bookmarkStart w:id="13" w:name="X840111749d45b35984c0089a6c734cdc2f6fe1f"/>
    <w:p>
      <w:pPr>
        <w:pStyle w:val="Heading2"/>
      </w:pPr>
      <w:r>
        <w:t xml:space="preserve">2. Perú: estado de la comprensión lectora en castellano</w:t>
      </w:r>
    </w:p>
    <w:bookmarkStart w:id="11" w:name="evaluaciones-nacionales-enla-y-em"/>
    <w:p>
      <w:pPr>
        <w:pStyle w:val="Heading3"/>
      </w:pPr>
      <w:r>
        <w:t xml:space="preserve">2.1 Evaluaciones nacionales (ENLA y 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Valor</w:t>
            </w:r>
          </w:p>
        </w:tc>
        <w:tc>
          <w:tcPr/>
          <w:p>
            <w:pPr>
              <w:pStyle w:val="Compact"/>
            </w:pPr>
            <w:r>
              <w:t xml:space="preserve">Fuente</w:t>
            </w:r>
          </w:p>
        </w:tc>
      </w:tr>
      <w:tr>
        <w:tc>
          <w:tcPr/>
          <w:p>
            <w:pPr>
              <w:pStyle w:val="Compact"/>
            </w:pPr>
            <w:r>
              <w:t xml:space="preserve">ENLA 2025, 4.° de primaria, Lectura</w:t>
            </w:r>
          </w:p>
        </w:tc>
        <w:tc>
          <w:tcPr/>
          <w:p>
            <w:pPr>
              <w:pStyle w:val="Compact"/>
            </w:pPr>
            <w:r>
              <w:t xml:space="preserve">Medida promedio de 490 y</w:t>
            </w:r>
            <w:r>
              <w:t xml:space="preserve"> </w:t>
            </w:r>
            <w:r>
              <w:rPr>
                <w:b/>
                <w:bCs/>
              </w:rPr>
              <w:t xml:space="preserve">32,7 % Satisfactorio</w:t>
            </w:r>
            <w:r>
              <w:t xml:space="preserve">. La infografía también muestra 40,4 %, 24,9 % y 2,1 % para los otros tres niveles. Por coherencia con 2024 (Previo al inicio de 3,4 %), lo más probable es que correspondan a En proceso, En inicio y Previo al inicio, en ese orden [V]. Resultados similares a 2024; mejoras en escuelas públicas y rurales.</w:t>
            </w:r>
          </w:p>
        </w:tc>
        <w:tc>
          <w:tcPr/>
          <w:p>
            <w:pPr>
              <w:pStyle w:val="Compact"/>
            </w:pPr>
            <w:r>
              <w:t xml:space="preserve">[P] UMC, infografía de resultados de primaria: http://umc.minedu.gob.pe/wp-content/uploads/2026/04/Resultados-ENLA-2025-Primaria.pdf ; nota del Minedu: https://www.gob.pe/institucion/minedu/noticias/1390772</w:t>
            </w:r>
          </w:p>
        </w:tc>
      </w:tr>
      <w:tr>
        <w:tc>
          <w:tcPr/>
          <w:p>
            <w:pPr>
              <w:pStyle w:val="Compact"/>
            </w:pPr>
            <w:r>
              <w:t xml:space="preserve">ENLA 2025, 2.° de secundaria, Lectura</w:t>
            </w:r>
          </w:p>
        </w:tc>
        <w:tc>
          <w:tcPr/>
          <w:p>
            <w:pPr>
              <w:pStyle w:val="Compact"/>
            </w:pPr>
            <w:r>
              <w:t xml:space="preserve">Satisfactorio 18,5 %; estable frente a 2023</w:t>
            </w:r>
          </w:p>
        </w:tc>
        <w:tc>
          <w:tcPr/>
          <w:p>
            <w:pPr>
              <w:pStyle w:val="Compact"/>
            </w:pPr>
            <w:r>
              <w:t xml:space="preserve">[S] Tapia Montesinos (2026), blog</w:t>
            </w:r>
            <w:r>
              <w:t xml:space="preserve"> </w:t>
            </w:r>
            <w:r>
              <w:rPr>
                <w:i/>
                <w:iCs/>
              </w:rPr>
              <w:t xml:space="preserve">De la evidencia al aula</w:t>
            </w:r>
            <w:r>
              <w:t xml:space="preserve">, que cita a la UMC; [P] nota del Minedu</w:t>
            </w:r>
          </w:p>
        </w:tc>
      </w:tr>
      <w:tr>
        <w:tc>
          <w:tcPr/>
          <w:p>
            <w:pPr>
              <w:pStyle w:val="Compact"/>
            </w:pPr>
            <w:r>
              <w:t xml:space="preserve">ENLA 2025, 5.° de secundaria, Lectura</w:t>
            </w:r>
          </w:p>
        </w:tc>
        <w:tc>
          <w:tcPr/>
          <w:p>
            <w:pPr>
              <w:pStyle w:val="Compact"/>
            </w:pPr>
            <w:r>
              <w:t xml:space="preserve">Satisfactorio 11,3 %; medida promedio de 619, en el nivel</w:t>
            </w:r>
            <w:r>
              <w:t xml:space="preserve"> </w:t>
            </w:r>
            <w:r>
              <w:t xml:space="preserve">“En inicio”</w:t>
            </w:r>
            <w:r>
              <w:t xml:space="preserve"> </w:t>
            </w:r>
            <w:r>
              <w:t xml:space="preserve">(según síntesis del informe pedagógico)</w:t>
            </w:r>
          </w:p>
        </w:tc>
        <w:tc>
          <w:tcPr/>
          <w:p>
            <w:pPr>
              <w:pStyle w:val="Compact"/>
            </w:pPr>
            <w:r>
              <w:t xml:space="preserve">[S] blog citado; [V] Informe pedagógico 5S de la UMC: http://umc.minedu.gob.pe/wp-content/uploads/2026/06/Informe_Pedagogico_5S_ENLA2025_Lectura.pdf</w:t>
            </w:r>
          </w:p>
        </w:tc>
      </w:tr>
      <w:tr>
        <w:tc>
          <w:tcPr/>
          <w:p>
            <w:pPr>
              <w:pStyle w:val="Compact"/>
            </w:pPr>
            <w:r>
              <w:t xml:space="preserve">Muestras de la ENLA 2025</w:t>
            </w:r>
          </w:p>
        </w:tc>
        <w:tc>
          <w:tcPr/>
          <w:p>
            <w:pPr>
              <w:pStyle w:val="Compact"/>
            </w:pPr>
            <w:r>
              <w:t xml:space="preserve">4.° de primaria: 129 778 estudiantes en 4817 escuelas. 2.° de secundaria: 106 487 estudiantes en 2792 escuelas. 5.° de secundaria: 12 029 estudiantes en 305 escuelas.</w:t>
            </w:r>
          </w:p>
        </w:tc>
        <w:tc>
          <w:tcPr/>
          <w:p>
            <w:pPr>
              <w:pStyle w:val="Compact"/>
            </w:pPr>
            <w:r>
              <w:t xml:space="preserve">[P] UMC, presentación de resultados nacionales ENLA 2025</w:t>
            </w:r>
          </w:p>
        </w:tc>
      </w:tr>
      <w:tr>
        <w:tc>
          <w:tcPr/>
          <w:p>
            <w:pPr>
              <w:pStyle w:val="Compact"/>
            </w:pPr>
            <w:r>
              <w:t xml:space="preserve">ENLA 2025, 4.° de primaria, brechas en el nivel Satisfactorio</w:t>
            </w:r>
          </w:p>
        </w:tc>
        <w:tc>
          <w:tcPr/>
          <w:p>
            <w:pPr>
              <w:pStyle w:val="Compact"/>
            </w:pPr>
            <w:r>
              <w:t xml:space="preserve">Privada cerca de 41 % frente a pública cerca de 29 %; urbana 35,5 % frente a rural 16,9 %; NSE alto 54 % frente a NSE muy bajo 21,2 %</w:t>
            </w:r>
          </w:p>
        </w:tc>
        <w:tc>
          <w:tcPr/>
          <w:p>
            <w:pPr>
              <w:pStyle w:val="Compact"/>
            </w:pPr>
            <w:r>
              <w:t xml:space="preserve">[S] blog citado, a partir de la UMC; [V]</w:t>
            </w:r>
          </w:p>
        </w:tc>
      </w:tr>
      <w:tr>
        <w:tc>
          <w:tcPr/>
          <w:p>
            <w:pPr>
              <w:pStyle w:val="Compact"/>
            </w:pPr>
            <w:r>
              <w:t xml:space="preserve">Trayectoria de la cohorte 2018 → 2025</w:t>
            </w:r>
          </w:p>
        </w:tc>
        <w:tc>
          <w:tcPr/>
          <w:p>
            <w:pPr>
              <w:pStyle w:val="Compact"/>
            </w:pPr>
            <w:r>
              <w:t xml:space="preserve">34,8 % Satisfactorio en 4.° de primaria (2018) frente a 11,3 % en 5.° de secundaria (2025). Pruebas no equivalentes.</w:t>
            </w:r>
          </w:p>
        </w:tc>
        <w:tc>
          <w:tcPr/>
          <w:p>
            <w:pPr>
              <w:pStyle w:val="Compact"/>
            </w:pPr>
            <w:r>
              <w:t xml:space="preserve">[S] blog citado</w:t>
            </w:r>
          </w:p>
        </w:tc>
      </w:tr>
      <w:tr>
        <w:tc>
          <w:tcPr/>
          <w:p>
            <w:pPr>
              <w:pStyle w:val="Compact"/>
            </w:pPr>
            <w:r>
              <w:t xml:space="preserve">ENLA 2024, 4.° de primaria (censal)</w:t>
            </w:r>
          </w:p>
        </w:tc>
        <w:tc>
          <w:tcPr/>
          <w:p>
            <w:pPr>
              <w:pStyle w:val="Compact"/>
            </w:pPr>
            <w:r>
              <w:t xml:space="preserve">532 000 estudiantes en 18 112 escuelas. Medida promedio de 490 y 32,8 % Satisfactorio. Supera a 2019, 2022 y 2023. Escuelas rurales: +24 puntos; su nivel Previo al inicio bajó de 23,6 % a 9,6 %.</w:t>
            </w:r>
          </w:p>
        </w:tc>
        <w:tc>
          <w:tcPr/>
          <w:p>
            <w:pPr>
              <w:pStyle w:val="Compact"/>
            </w:pPr>
            <w:r>
              <w:t xml:space="preserve">[P] UMC: http://umc.minedu.gob.pe/enla-2024-532-000-escolares-de-4-o-grado-de-primaria-muestran-recuperacion-en-lectura-y-matematica/</w:t>
            </w:r>
          </w:p>
        </w:tc>
      </w:tr>
      <w:tr>
        <w:tc>
          <w:tcPr/>
          <w:p>
            <w:pPr>
              <w:pStyle w:val="Compact"/>
            </w:pPr>
            <w:r>
              <w:t xml:space="preserve">ENLA 2024, 6.° de primaria (muestral)</w:t>
            </w:r>
          </w:p>
        </w:tc>
        <w:tc>
          <w:tcPr/>
          <w:p>
            <w:pPr>
              <w:pStyle w:val="Compact"/>
            </w:pPr>
            <w:r>
              <w:t xml:space="preserve">Sin cambios frente a 2022, ni en la medida promedio ni en el nivel Satisfactorio</w:t>
            </w:r>
          </w:p>
        </w:tc>
        <w:tc>
          <w:tcPr/>
          <w:p>
            <w:pPr>
              <w:pStyle w:val="Compact"/>
            </w:pPr>
            <w:r>
              <w:t xml:space="preserve">[P] ídem</w:t>
            </w:r>
          </w:p>
        </w:tc>
      </w:tr>
      <w:tr>
        <w:tc>
          <w:tcPr/>
          <w:p>
            <w:pPr>
              <w:pStyle w:val="Compact"/>
            </w:pPr>
            <w:r>
              <w:t xml:space="preserve">EM 2022 frente a ECE 2019, Lectura, Satisfactorio</w:t>
            </w:r>
          </w:p>
        </w:tc>
        <w:tc>
          <w:tcPr/>
          <w:p>
            <w:pPr>
              <w:pStyle w:val="Compact"/>
            </w:pPr>
            <w:r>
              <w:t xml:space="preserve">2.° de primaria: 37,6 % (igual). 4.° de primaria: de 34,5 % a 30,0 %. 2.° de secundaria: de 14,0 % a 19,1 %. 6.° de primaria (2022): 25,2 %.</w:t>
            </w:r>
          </w:p>
        </w:tc>
        <w:tc>
          <w:tcPr/>
          <w:p>
            <w:pPr>
              <w:pStyle w:val="Compact"/>
            </w:pPr>
            <w:r>
              <w:t xml:space="preserve">[S] Llanos (2023), revista</w:t>
            </w:r>
            <w:r>
              <w:t xml:space="preserve"> </w:t>
            </w:r>
            <w:r>
              <w:rPr>
                <w:i/>
                <w:iCs/>
              </w:rPr>
              <w:t xml:space="preserve">Educacción</w:t>
            </w:r>
            <w:r>
              <w:t xml:space="preserve">, que cita a la UMC; [P] nota del Minedu: https://www.gob.pe/institucion/minedu/noticias/737725</w:t>
            </w:r>
          </w:p>
        </w:tc>
      </w:tr>
      <w:tr>
        <w:tc>
          <w:tcPr/>
          <w:p>
            <w:pPr>
              <w:pStyle w:val="Compact"/>
            </w:pPr>
            <w:r>
              <w:t xml:space="preserve">EM 2022, brechas en 4.° de primaria</w:t>
            </w:r>
          </w:p>
        </w:tc>
        <w:tc>
          <w:tcPr/>
          <w:p>
            <w:pPr>
              <w:pStyle w:val="Compact"/>
            </w:pPr>
            <w:r>
              <w:t xml:space="preserve">Rural: de 14,8 % a 12,2 %. Urbana: de 37,8 % a 33,7 %. Privada: de 45,5 % a 44,9 %. La distancia en medida promedio entre la escuela rural y la privada pasó de 61 a 68 puntos.</w:t>
            </w:r>
          </w:p>
        </w:tc>
        <w:tc>
          <w:tcPr/>
          <w:p>
            <w:pPr>
              <w:pStyle w:val="Compact"/>
            </w:pPr>
            <w:r>
              <w:t xml:space="preserve">[S] Llanos (2023)</w:t>
            </w:r>
          </w:p>
        </w:tc>
      </w:tr>
      <w:tr>
        <w:tc>
          <w:tcPr/>
          <w:p>
            <w:pPr>
              <w:pStyle w:val="Compact"/>
            </w:pPr>
            <w:r>
              <w:t xml:space="preserve">Factores asociados en la ENLA 2025</w:t>
            </w:r>
          </w:p>
        </w:tc>
        <w:tc>
          <w:tcPr/>
          <w:p>
            <w:pPr>
              <w:pStyle w:val="Compact"/>
            </w:pPr>
            <w:r>
              <w:t xml:space="preserve">Mejor desempeño cuando hay satisfacción con el acompañamiento pedagógico, promoción de la participación en el aula y retroalimentación docente; la violencia escolar se asocia con menor desempeño</w:t>
            </w:r>
          </w:p>
        </w:tc>
        <w:tc>
          <w:tcPr/>
          <w:p>
            <w:pPr>
              <w:pStyle w:val="Compact"/>
            </w:pPr>
            <w:r>
              <w:t xml:space="preserve">[P] nota del Minedu</w:t>
            </w:r>
          </w:p>
        </w:tc>
      </w:tr>
      <w:tr>
        <w:tc>
          <w:tcPr/>
          <w:p>
            <w:pPr>
              <w:pStyle w:val="Compact"/>
            </w:pPr>
            <w:r>
              <w:t xml:space="preserve">Dificultades en 5.° de secundaria</w:t>
            </w:r>
          </w:p>
        </w:tc>
        <w:tc>
          <w:tcPr/>
          <w:p>
            <w:pPr>
              <w:pStyle w:val="Compact"/>
            </w:pPr>
            <w:r>
              <w:t xml:space="preserve">Integrar información dispersa, inferir relaciones complejas, distinguir hechos de opiniones y evaluar la confiabilidad, el contexto y la función del texto</w:t>
            </w:r>
          </w:p>
        </w:tc>
        <w:tc>
          <w:tcPr/>
          <w:p>
            <w:pPr>
              <w:pStyle w:val="Compact"/>
            </w:pPr>
            <w:r>
              <w:t xml:space="preserve">[S/V] síntesis del informe pedagógico de la UMC (no se pudo descargar el PDF)</w:t>
            </w:r>
          </w:p>
        </w:tc>
      </w:tr>
      <w:tr>
        <w:tc>
          <w:tcPr/>
          <w:p>
            <w:pPr>
              <w:pStyle w:val="Compact"/>
            </w:pPr>
            <w:r>
              <w:t xml:space="preserve">Peso de los ítems de reflexión</w:t>
            </w:r>
          </w:p>
        </w:tc>
        <w:tc>
          <w:tcPr/>
          <w:p>
            <w:pPr>
              <w:pStyle w:val="Compact"/>
            </w:pPr>
            <w:r>
              <w:t xml:space="preserve">Alrededor del 25 % en 4.° de primaria y entre 25 y 35 % en 2.° de secundaria; solo el 13,8 % de las preguntas de los docentes apunta a la reflexión</w:t>
            </w:r>
          </w:p>
        </w:tc>
        <w:tc>
          <w:tcPr/>
          <w:p>
            <w:pPr>
              <w:pStyle w:val="Compact"/>
            </w:pPr>
            <w:r>
              <w:t xml:space="preserve">Del documento previo del equipo (D3)</w:t>
            </w:r>
          </w:p>
        </w:tc>
      </w:tr>
      <w:tr>
        <w:tc>
          <w:tcPr/>
          <w:p>
            <w:pPr>
              <w:pStyle w:val="Compact"/>
            </w:pPr>
            <w:r>
              <w:t xml:space="preserve">ENLA 2026</w:t>
            </w:r>
          </w:p>
        </w:tc>
        <w:tc>
          <w:tcPr/>
          <w:p>
            <w:pPr>
              <w:pStyle w:val="Compact"/>
            </w:pPr>
            <w:r>
              <w:t xml:space="preserve">Cancelada</w:t>
            </w:r>
          </w:p>
        </w:tc>
        <w:tc>
          <w:tcPr/>
          <w:p>
            <w:pPr>
              <w:pStyle w:val="Compact"/>
            </w:pPr>
            <w:r>
              <w:t xml:space="preserve">D3</w:t>
            </w:r>
          </w:p>
        </w:tc>
      </w:tr>
    </w:tbl>
    <w:p>
      <w:pPr>
        <w:pStyle w:val="BodyText"/>
      </w:pPr>
      <w:r>
        <w:rPr>
          <w:b/>
          <w:bCs/>
        </w:rPr>
        <w:t xml:space="preserve">Lectura de los datos:</w:t>
      </w:r>
      <w:r>
        <w:t xml:space="preserve"> </w:t>
      </w:r>
      <w:r>
        <w:t xml:space="preserve">- La lectura en 4.° de primaria</w:t>
      </w:r>
      <w:r>
        <w:t xml:space="preserve"> </w:t>
      </w:r>
      <w:r>
        <w:rPr>
          <w:b/>
          <w:bCs/>
        </w:rPr>
        <w:t xml:space="preserve">se recuperó</w:t>
      </w:r>
      <w:r>
        <w:t xml:space="preserve"> </w:t>
      </w:r>
      <w:r>
        <w:t xml:space="preserve">tras la pandemia y está estable en torno al 33 %.</w:t>
      </w:r>
      <w:r>
        <w:t xml:space="preserve"> </w:t>
      </w:r>
      <w:r>
        <w:t xml:space="preserve">- El gran problema está en</w:t>
      </w:r>
      <w:r>
        <w:t xml:space="preserve"> </w:t>
      </w:r>
      <w:r>
        <w:rPr>
          <w:b/>
          <w:bCs/>
        </w:rPr>
        <w:t xml:space="preserve">secundaria</w:t>
      </w:r>
      <w:r>
        <w:t xml:space="preserve">: solo 1 de cada 9 estudiantes egresa con comprensión satisfactoria. Esa es la población que entra a la universidad en 2026.</w:t>
      </w:r>
    </w:p>
    <w:bookmarkEnd w:id="11"/>
    <w:bookmarkStart w:id="12" w:name="perú-en-evaluaciones-internacionales"/>
    <w:p>
      <w:pPr>
        <w:pStyle w:val="Heading3"/>
      </w:pPr>
      <w:r>
        <w:t xml:space="preserve">2.2 Perú en evaluaciones internacionales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Evaluación</w:t>
            </w:r>
          </w:p>
        </w:tc>
        <w:tc>
          <w:tcPr/>
          <w:p>
            <w:pPr>
              <w:pStyle w:val="Compact"/>
            </w:pPr>
            <w:r>
              <w:t xml:space="preserve">Dato para el Perú</w:t>
            </w:r>
          </w:p>
        </w:tc>
        <w:tc>
          <w:tcPr/>
          <w:p>
            <w:pPr>
              <w:pStyle w:val="Compact"/>
            </w:pPr>
            <w:r>
              <w:t xml:space="preserve">Fuente</w:t>
            </w:r>
          </w:p>
        </w:tc>
      </w:tr>
      <w:tr>
        <w:tc>
          <w:tcPr/>
          <w:p>
            <w:pPr>
              <w:pStyle w:val="Compact"/>
            </w:pPr>
            <w:r>
              <w:rPr>
                <w:b/>
                <w:bCs/>
              </w:rPr>
              <w:t xml:space="preserve">PISA 2025, lectura</w:t>
            </w:r>
            <w:r>
              <w:t xml:space="preserve"> </w:t>
            </w:r>
            <w:r>
              <w:t xml:space="preserve">(dominio menor; el foco fue ciencias)</w:t>
            </w:r>
          </w:p>
        </w:tc>
        <w:tc>
          <w:tcPr/>
          <w:p>
            <w:pPr>
              <w:pStyle w:val="Compact"/>
            </w:pPr>
            <w:r>
              <w:rPr>
                <w:b/>
                <w:bCs/>
              </w:rPr>
              <w:t xml:space="preserve">390 puntos</w:t>
            </w:r>
            <w:r>
              <w:t xml:space="preserve"> </w:t>
            </w:r>
            <w:r>
              <w:t xml:space="preserve">(OCDE: 461); −18 puntos frente a 2022, lo que sitúa a 2022 en 408. El</w:t>
            </w:r>
            <w:r>
              <w:t xml:space="preserve"> </w:t>
            </w:r>
            <w:r>
              <w:rPr>
                <w:b/>
                <w:bCs/>
              </w:rPr>
              <w:t xml:space="preserve">42 %</w:t>
            </w:r>
            <w:r>
              <w:t xml:space="preserve"> </w:t>
            </w:r>
            <w:r>
              <w:t xml:space="preserve">alcanza al menos el nivel 2 (OCDE: 69 %); casi nadie llega al nivel 5 o más (OCDE: 6 %). El descenso reciente borró los avances logrados después de 2015.</w:t>
            </w:r>
          </w:p>
        </w:tc>
        <w:tc>
          <w:tcPr/>
          <w:p>
            <w:pPr>
              <w:pStyle w:val="Compact"/>
            </w:pPr>
            <w:r>
              <w:t xml:space="preserve">[P] OCDE, nota país del Perú, 8 de septiembre de 2026: https://www.oecd.org/en/publications/pisa-2025-results-volume-i-country-notes_2d4ff9ea-en/peru_0c319189-en.html ; Education GPS</w:t>
            </w:r>
          </w:p>
        </w:tc>
      </w:tr>
      <w:tr>
        <w:tc>
          <w:tcPr/>
          <w:p>
            <w:pPr>
              <w:pStyle w:val="Compact"/>
            </w:pPr>
            <w:r>
              <w:t xml:space="preserve">Qué exige cada nivel de PISA</w:t>
            </w:r>
          </w:p>
        </w:tc>
        <w:tc>
          <w:tcPr/>
          <w:p>
            <w:pPr>
              <w:pStyle w:val="Compact"/>
            </w:pPr>
            <w:r>
              <w:t xml:space="preserve">Nivel 2: identificar la idea principal y reflexionar sobre el propósito del texto cuando se le pide. Nivel 5: textos largos, conceptos abstractos y</w:t>
            </w:r>
            <w:r>
              <w:t xml:space="preserve"> </w:t>
            </w:r>
            <w:r>
              <w:rPr>
                <w:b/>
                <w:bCs/>
              </w:rPr>
              <w:t xml:space="preserve">distinguir hechos de opiniones a partir de pistas implícitas sobre el contenido o la fuente</w:t>
            </w:r>
            <w:r>
              <w:t xml:space="preserve">.</w:t>
            </w:r>
          </w:p>
        </w:tc>
        <w:tc>
          <w:tcPr/>
          <w:p>
            <w:pPr>
              <w:pStyle w:val="Compact"/>
            </w:pPr>
            <w:r>
              <w:t xml:space="preserve">[P] ídem</w:t>
            </w:r>
          </w:p>
        </w:tc>
      </w:tr>
      <w:tr>
        <w:tc>
          <w:tcPr/>
          <w:p>
            <w:pPr>
              <w:pStyle w:val="Compact"/>
            </w:pPr>
            <w:r>
              <w:t xml:space="preserve">PISA 2025, uso de IA</w:t>
            </w:r>
          </w:p>
        </w:tc>
        <w:tc>
          <w:tcPr/>
          <w:p>
            <w:pPr>
              <w:pStyle w:val="Compact"/>
            </w:pPr>
            <w:r>
              <w:t xml:space="preserve">El</w:t>
            </w:r>
            <w:r>
              <w:t xml:space="preserve"> </w:t>
            </w:r>
            <w:r>
              <w:rPr>
                <w:b/>
                <w:bCs/>
              </w:rPr>
              <w:t xml:space="preserve">54 %</w:t>
            </w:r>
            <w:r>
              <w:t xml:space="preserve"> </w:t>
            </w:r>
            <w:r>
              <w:t xml:space="preserve">usa chatbots al menos una vez por semana para aprender (OCDE: 46 %); el</w:t>
            </w:r>
            <w:r>
              <w:t xml:space="preserve"> </w:t>
            </w:r>
            <w:r>
              <w:rPr>
                <w:b/>
                <w:bCs/>
              </w:rPr>
              <w:t xml:space="preserve">40 %</w:t>
            </w:r>
            <w:r>
              <w:t xml:space="preserve">, para</w:t>
            </w:r>
            <w:r>
              <w:t xml:space="preserve"> </w:t>
            </w:r>
            <w:r>
              <w:rPr>
                <w:b/>
                <w:bCs/>
              </w:rPr>
              <w:t xml:space="preserve">resumir un texto que debía leer</w:t>
            </w:r>
            <w:r>
              <w:t xml:space="preserve"> </w:t>
            </w:r>
            <w:r>
              <w:t xml:space="preserve">(OCDE: 30 %); el 36 %, para redactar (OCDE: 29 %); el 43 %, para investigar un tema nuevo</w:t>
            </w:r>
          </w:p>
        </w:tc>
        <w:tc>
          <w:tcPr/>
          <w:p>
            <w:pPr>
              <w:pStyle w:val="Compact"/>
            </w:pPr>
            <w:r>
              <w:t xml:space="preserve">[P] ídem</w:t>
            </w:r>
          </w:p>
        </w:tc>
      </w:tr>
      <w:tr>
        <w:tc>
          <w:tcPr/>
          <w:p>
            <w:pPr>
              <w:pStyle w:val="Compact"/>
            </w:pPr>
            <w:r>
              <w:t xml:space="preserve">PISA 2025, autorregulación</w:t>
            </w:r>
          </w:p>
        </w:tc>
        <w:tc>
          <w:tcPr/>
          <w:p>
            <w:pPr>
              <w:pStyle w:val="Compact"/>
            </w:pPr>
            <w:r>
              <w:t xml:space="preserve">El 48 % se hace preguntas para comprobar si entendió (OCDE: 49 %); el 44 % planifica su estudio</w:t>
            </w:r>
          </w:p>
        </w:tc>
        <w:tc>
          <w:tcPr/>
          <w:p>
            <w:pPr>
              <w:pStyle w:val="Compact"/>
            </w:pPr>
            <w:r>
              <w:t xml:space="preserve">[P] ídem</w:t>
            </w:r>
          </w:p>
        </w:tc>
      </w:tr>
      <w:tr>
        <w:tc>
          <w:tcPr/>
          <w:p>
            <w:pPr>
              <w:pStyle w:val="Compact"/>
            </w:pPr>
            <w:r>
              <w:t xml:space="preserve">PISA 2025, contexto</w:t>
            </w:r>
          </w:p>
        </w:tc>
        <w:tc>
          <w:tcPr/>
          <w:p>
            <w:pPr>
              <w:pStyle w:val="Compact"/>
            </w:pPr>
            <w:r>
              <w:t xml:space="preserve">6991 estudiantes en 260 escuelas. El 86 % de los estudiantes está en escuelas que prohíben el celular. El 54 % está en escuelas donde la falta de material dificulta la enseñanza.</w:t>
            </w:r>
          </w:p>
        </w:tc>
        <w:tc>
          <w:tcPr/>
          <w:p>
            <w:pPr>
              <w:pStyle w:val="Compact"/>
            </w:pPr>
            <w:r>
              <w:t xml:space="preserve">[P] ídem</w:t>
            </w:r>
          </w:p>
        </w:tc>
      </w:tr>
      <w:tr>
        <w:tc>
          <w:tcPr/>
          <w:p>
            <w:pPr>
              <w:pStyle w:val="Compact"/>
            </w:pPr>
            <w:r>
              <w:t xml:space="preserve">ERCE 2019 (LLECE)</w:t>
            </w:r>
          </w:p>
        </w:tc>
        <w:tc>
          <w:tcPr/>
          <w:p>
            <w:pPr>
              <w:pStyle w:val="Compact"/>
            </w:pPr>
            <w:r>
              <w:t xml:space="preserve">3.° de primaria: el 75,6 % de los peruanos supera el nivel I, el porcentaje más alto de la región. 6.° de primaria: el Perú tuvo el</w:t>
            </w:r>
            <w:r>
              <w:t xml:space="preserve"> </w:t>
            </w:r>
            <w:r>
              <w:rPr>
                <w:b/>
                <w:bCs/>
              </w:rPr>
              <w:t xml:space="preserve">mayor avance de la región</w:t>
            </w:r>
            <w:r>
              <w:t xml:space="preserve"> </w:t>
            </w:r>
            <w:r>
              <w:t xml:space="preserve">entre 2013 y 2019 (+38 puntos), aunque su promedio sigue en el nivel II, por debajo del nivel mínimo, que es el III.</w:t>
            </w:r>
          </w:p>
        </w:tc>
        <w:tc>
          <w:tcPr/>
          <w:p>
            <w:pPr>
              <w:pStyle w:val="Compact"/>
            </w:pPr>
            <w:r>
              <w:t xml:space="preserve">[P] UNESCO-LLECE, informe regional: http://umc.minedu.gob.pe/wp-content/uploads/2022/02/Informe-regional.pdf ; UMC, presentación ERCE 2019</w:t>
            </w:r>
          </w:p>
        </w:tc>
      </w:tr>
      <w:tr>
        <w:tc>
          <w:tcPr/>
          <w:p>
            <w:pPr>
              <w:pStyle w:val="Compact"/>
            </w:pPr>
            <w:r>
              <w:t xml:space="preserve">Pobreza de aprendizaje (Banco Mundial)</w:t>
            </w:r>
          </w:p>
        </w:tc>
        <w:tc>
          <w:tcPr/>
          <w:p>
            <w:pPr>
              <w:pStyle w:val="Compact"/>
            </w:pPr>
            <w:r>
              <w:t xml:space="preserve">Brief Perú 2024: cerca de</w:t>
            </w:r>
            <w:r>
              <w:t xml:space="preserve"> </w:t>
            </w:r>
            <w:r>
              <w:rPr>
                <w:b/>
                <w:bCs/>
              </w:rPr>
              <w:t xml:space="preserve">44 %</w:t>
            </w:r>
            <w:r>
              <w:t xml:space="preserve"> </w:t>
            </w:r>
            <w:r>
              <w:t xml:space="preserve">según una síntesis de búsqueda (no se pudo abrir el PDF) [V]. El Global Education Policy Dashboard reporta 46,3 % de niños de 10 años que no alcanzan el nivel básico de lectura y 55,7 %</w:t>
            </w:r>
            <w:r>
              <w:t xml:space="preserve"> </w:t>
            </w:r>
            <w:r>
              <w:rPr>
                <w:i/>
                <w:iCs/>
              </w:rPr>
              <w:t xml:space="preserve">de facto</w:t>
            </w:r>
            <w:r>
              <w:t xml:space="preserve">, incluyendo a los que están fuera de la escuela.</w:t>
            </w:r>
          </w:p>
        </w:tc>
        <w:tc>
          <w:tcPr/>
          <w:p>
            <w:pPr>
              <w:pStyle w:val="Compact"/>
            </w:pPr>
            <w:r>
              <w:t xml:space="preserve">[V] https://documents.worldbank.org/en/publication/documents-reports/documentdetail/099060124164539924 ; [P] https://www.educationpolicydashboard.org/indicator_timetrend/per/44/44</w:t>
            </w:r>
          </w:p>
        </w:tc>
      </w:tr>
      <w:tr>
        <w:tc>
          <w:tcPr/>
          <w:p>
            <w:pPr>
              <w:pStyle w:val="Compact"/>
            </w:pPr>
            <w:r>
              <w:t xml:space="preserve">PIAAC (adultos, primer ciclo)</w:t>
            </w:r>
          </w:p>
        </w:tc>
        <w:tc>
          <w:tcPr/>
          <w:p>
            <w:pPr>
              <w:pStyle w:val="Compact"/>
            </w:pPr>
            <w:r>
              <w:t xml:space="preserve">Chile, Ecuador, México y el Perú están en el fondo de la tabla de literacidad. Ni siquiera los adultos con educación terciaria llegan al nivel de la OCDE (OCDE, 2023). Con cualquier nivel educativo, no alcanzan en promedio el nivel 3 (Moncada et al., 2025).</w:t>
            </w:r>
          </w:p>
        </w:tc>
        <w:tc>
          <w:tcPr/>
          <w:p>
            <w:pPr>
              <w:pStyle w:val="Compact"/>
            </w:pPr>
            <w:r>
              <w:t xml:space="preserve">[P] https://doi.org/10.1787/f7fadd64-en ; https://doi.org/10.3389/feduc.2024.1466947</w:t>
            </w:r>
          </w:p>
        </w:tc>
      </w:tr>
    </w:tbl>
    <w:p>
      <w:pPr>
        <w:pStyle w:val="BodyText"/>
      </w:pPr>
      <w:r>
        <w:rPr>
          <w:b/>
          <w:bCs/>
        </w:rPr>
        <w:t xml:space="preserve">Lectura de los datos:</w:t>
      </w:r>
      <w:r>
        <w:t xml:space="preserve"> </w:t>
      </w:r>
      <w:r>
        <w:t xml:space="preserve">PISA 2025 muestra que el 58 % de los jóvenes peruanos de 15 años</w:t>
      </w:r>
      <w:r>
        <w:t xml:space="preserve"> </w:t>
      </w:r>
      <w:r>
        <w:rPr>
          <w:b/>
          <w:bCs/>
        </w:rPr>
        <w:t xml:space="preserve">no alcanza el nivel básico</w:t>
      </w:r>
      <w:r>
        <w:t xml:space="preserve">, y que la evaluación crítica de fuentes (nivel 5) es prácticamente inexistente. Además, la IA ya se usa masivamente para</w:t>
      </w:r>
      <w:r>
        <w:t xml:space="preserve"> </w:t>
      </w:r>
      <w:r>
        <w:rPr>
          <w:i/>
          <w:iCs/>
        </w:rPr>
        <w:t xml:space="preserve">saltarse</w:t>
      </w:r>
      <w:r>
        <w:t xml:space="preserve"> </w:t>
      </w:r>
      <w:r>
        <w:t xml:space="preserve">la lectura: el 40 % la usa para resumir.</w:t>
      </w:r>
    </w:p>
    <w:p>
      <w:r>
        <w:pict>
          <v:rect style="width:0;height:1.5pt" o:hralign="center" o:hrstd="t" o:hr="t"/>
        </w:pict>
      </w:r>
    </w:p>
    <w:bookmarkEnd w:id="12"/>
    <w:bookmarkEnd w:id="13"/>
    <w:bookmarkStart w:id="17" w:name="X5153afc84172cb9de94b8f5cf6d5b2ea2855e8a"/>
    <w:p>
      <w:pPr>
        <w:pStyle w:val="Heading2"/>
      </w:pPr>
      <w:r>
        <w:t xml:space="preserve">3. América Latina y el mundo hispanohablante</w:t>
      </w:r>
    </w:p>
    <w:bookmarkStart w:id="14" w:name="pisa-2025-lectura"/>
    <w:p>
      <w:pPr>
        <w:pStyle w:val="Heading3"/>
      </w:pPr>
      <w:r>
        <w:t xml:space="preserve">3.1 PISA 2025: lectura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País</w:t>
            </w:r>
          </w:p>
        </w:tc>
        <w:tc>
          <w:tcPr/>
          <w:p>
            <w:pPr>
              <w:pStyle w:val="Compact"/>
            </w:pPr>
            <w:r>
              <w:t xml:space="preserve">Lectura 2025</w:t>
            </w:r>
          </w:p>
        </w:tc>
        <w:tc>
          <w:tcPr/>
          <w:p>
            <w:pPr>
              <w:pStyle w:val="Compact"/>
            </w:pPr>
            <w:r>
              <w:t xml:space="preserve">Cambio frente a 2022 (si está verificado)</w:t>
            </w:r>
          </w:p>
        </w:tc>
      </w:tr>
      <w:tr>
        <w:tc>
          <w:tcPr/>
          <w:p>
            <w:pPr>
              <w:pStyle w:val="Compact"/>
            </w:pPr>
            <w:r>
              <w:t xml:space="preserve">Chile</w:t>
            </w:r>
          </w:p>
        </w:tc>
        <w:tc>
          <w:tcPr/>
          <w:p>
            <w:pPr>
              <w:pStyle w:val="Compact"/>
            </w:pPr>
            <w:r>
              <w:t xml:space="preserve">436</w:t>
            </w:r>
          </w:p>
        </w:tc>
        <w:tc>
          <w:tcPr/>
          <w:p>
            <w:pPr>
              <w:pStyle w:val="Compact"/>
            </w:pPr>
            <w:r>
              <w:t xml:space="preserve">−12 (de 448)</w:t>
            </w:r>
          </w:p>
        </w:tc>
      </w:tr>
      <w:tr>
        <w:tc>
          <w:tcPr/>
          <w:p>
            <w:pPr>
              <w:pStyle w:val="Compact"/>
            </w:pPr>
            <w:r>
              <w:t xml:space="preserve">Uruguay</w:t>
            </w:r>
          </w:p>
        </w:tc>
        <w:tc>
          <w:tcPr/>
          <w:p>
            <w:pPr>
              <w:pStyle w:val="Compact"/>
            </w:pPr>
            <w:r>
              <w:t xml:space="preserve">423</w:t>
            </w:r>
          </w:p>
        </w:tc>
        <w:tc>
          <w:tcPr/>
          <w:p>
            <w:pPr>
              <w:pStyle w:val="Compact"/>
            </w:pPr>
            <w:r>
              <w:t xml:space="preserve">—</w:t>
            </w:r>
          </w:p>
        </w:tc>
      </w:tr>
      <w:tr>
        <w:tc>
          <w:tcPr/>
          <w:p>
            <w:pPr>
              <w:pStyle w:val="Compact"/>
            </w:pPr>
            <w:r>
              <w:t xml:space="preserve">Costa Rica</w:t>
            </w:r>
          </w:p>
        </w:tc>
        <w:tc>
          <w:tcPr/>
          <w:p>
            <w:pPr>
              <w:pStyle w:val="Compact"/>
            </w:pPr>
            <w:r>
              <w:t xml:space="preserve">416</w:t>
            </w:r>
          </w:p>
        </w:tc>
        <w:tc>
          <w:tcPr/>
          <w:p>
            <w:pPr>
              <w:pStyle w:val="Compact"/>
            </w:pPr>
            <w:r>
              <w:t xml:space="preserve">—</w:t>
            </w:r>
          </w:p>
        </w:tc>
      </w:tr>
      <w:tr>
        <w:tc>
          <w:tcPr/>
          <w:p>
            <w:pPr>
              <w:pStyle w:val="Compact"/>
            </w:pPr>
            <w:r>
              <w:t xml:space="preserve">Brasil (referencia regional, no hispanohablante)</w:t>
            </w:r>
          </w:p>
        </w:tc>
        <w:tc>
          <w:tcPr/>
          <w:p>
            <w:pPr>
              <w:pStyle w:val="Compact"/>
            </w:pPr>
            <w:r>
              <w:t xml:space="preserve">408</w:t>
            </w:r>
          </w:p>
        </w:tc>
        <w:tc>
          <w:tcPr/>
          <w:p>
            <w:pPr>
              <w:pStyle w:val="Compact"/>
            </w:pPr>
            <w:r>
              <w:t xml:space="preserve">—</w:t>
            </w:r>
          </w:p>
        </w:tc>
      </w:tr>
      <w:tr>
        <w:tc>
          <w:tcPr/>
          <w:p>
            <w:pPr>
              <w:pStyle w:val="Compact"/>
            </w:pPr>
            <w:r>
              <w:t xml:space="preserve">México</w:t>
            </w:r>
          </w:p>
        </w:tc>
        <w:tc>
          <w:tcPr/>
          <w:p>
            <w:pPr>
              <w:pStyle w:val="Compact"/>
            </w:pPr>
            <w:r>
              <w:t xml:space="preserve">408</w:t>
            </w:r>
          </w:p>
        </w:tc>
        <w:tc>
          <w:tcPr/>
          <w:p>
            <w:pPr>
              <w:pStyle w:val="Compact"/>
            </w:pPr>
            <w:r>
              <w:t xml:space="preserve">−7 (de 415)</w:t>
            </w:r>
          </w:p>
        </w:tc>
      </w:tr>
      <w:tr>
        <w:tc>
          <w:tcPr/>
          <w:p>
            <w:pPr>
              <w:pStyle w:val="Compact"/>
            </w:pPr>
            <w:r>
              <w:t xml:space="preserve">Colombia</w:t>
            </w:r>
          </w:p>
        </w:tc>
        <w:tc>
          <w:tcPr/>
          <w:p>
            <w:pPr>
              <w:pStyle w:val="Compact"/>
            </w:pPr>
            <w:r>
              <w:t xml:space="preserve">399</w:t>
            </w:r>
          </w:p>
        </w:tc>
        <w:tc>
          <w:tcPr/>
          <w:p>
            <w:pPr>
              <w:pStyle w:val="Compact"/>
            </w:pPr>
            <w:r>
              <w:t xml:space="preserve">−10 (de 409)</w:t>
            </w:r>
          </w:p>
        </w:tc>
      </w:tr>
      <w:tr>
        <w:tc>
          <w:tcPr/>
          <w:p>
            <w:pPr>
              <w:pStyle w:val="Compact"/>
            </w:pPr>
            <w:r>
              <w:rPr>
                <w:b/>
                <w:bCs/>
              </w:rPr>
              <w:t xml:space="preserve">Perú</w:t>
            </w:r>
          </w:p>
        </w:tc>
        <w:tc>
          <w:tcPr/>
          <w:p>
            <w:pPr>
              <w:pStyle w:val="Compact"/>
            </w:pPr>
            <w:r>
              <w:rPr>
                <w:b/>
                <w:bCs/>
              </w:rPr>
              <w:t xml:space="preserve">390</w:t>
            </w:r>
          </w:p>
        </w:tc>
        <w:tc>
          <w:tcPr/>
          <w:p>
            <w:pPr>
              <w:pStyle w:val="Compact"/>
            </w:pPr>
            <w:r>
              <w:rPr>
                <w:b/>
                <w:bCs/>
              </w:rPr>
              <w:t xml:space="preserve">−18</w:t>
            </w:r>
          </w:p>
        </w:tc>
      </w:tr>
      <w:tr>
        <w:tc>
          <w:tcPr/>
          <w:p>
            <w:pPr>
              <w:pStyle w:val="Compact"/>
            </w:pPr>
            <w:r>
              <w:t xml:space="preserve">Argentina</w:t>
            </w:r>
          </w:p>
        </w:tc>
        <w:tc>
          <w:tcPr/>
          <w:p>
            <w:pPr>
              <w:pStyle w:val="Compact"/>
            </w:pPr>
            <w:r>
              <w:t xml:space="preserve">389</w:t>
            </w:r>
          </w:p>
        </w:tc>
        <w:tc>
          <w:tcPr/>
          <w:p>
            <w:pPr>
              <w:pStyle w:val="Compact"/>
            </w:pPr>
            <w:r>
              <w:t xml:space="preserve">−12</w:t>
            </w:r>
          </w:p>
        </w:tc>
      </w:tr>
      <w:tr>
        <w:tc>
          <w:tcPr/>
          <w:p>
            <w:pPr>
              <w:pStyle w:val="Compact"/>
            </w:pPr>
            <w:r>
              <w:t xml:space="preserve">Ecuador</w:t>
            </w:r>
          </w:p>
        </w:tc>
        <w:tc>
          <w:tcPr/>
          <w:p>
            <w:pPr>
              <w:pStyle w:val="Compact"/>
            </w:pPr>
            <w:r>
              <w:t xml:space="preserve">385</w:t>
            </w:r>
          </w:p>
        </w:tc>
        <w:tc>
          <w:tcPr/>
          <w:p>
            <w:pPr>
              <w:pStyle w:val="Compact"/>
            </w:pPr>
            <w:r>
              <w:t xml:space="preserve">Primera participación</w:t>
            </w:r>
          </w:p>
        </w:tc>
      </w:tr>
      <w:tr>
        <w:tc>
          <w:tcPr/>
          <w:p>
            <w:pPr>
              <w:pStyle w:val="Compact"/>
            </w:pPr>
            <w:r>
              <w:t xml:space="preserve">El Salvador</w:t>
            </w:r>
          </w:p>
        </w:tc>
        <w:tc>
          <w:tcPr/>
          <w:p>
            <w:pPr>
              <w:pStyle w:val="Compact"/>
            </w:pPr>
            <w:r>
              <w:t xml:space="preserve">366</w:t>
            </w:r>
          </w:p>
        </w:tc>
        <w:tc>
          <w:tcPr/>
          <w:p>
            <w:pPr>
              <w:pStyle w:val="Compact"/>
            </w:pPr>
            <w:r>
              <w:t xml:space="preserve">—</w:t>
            </w:r>
          </w:p>
        </w:tc>
      </w:tr>
      <w:tr>
        <w:tc>
          <w:tcPr/>
          <w:p>
            <w:pPr>
              <w:pStyle w:val="Compact"/>
            </w:pPr>
            <w:r>
              <w:t xml:space="preserve">Paraguay</w:t>
            </w:r>
          </w:p>
        </w:tc>
        <w:tc>
          <w:tcPr/>
          <w:p>
            <w:pPr>
              <w:pStyle w:val="Compact"/>
            </w:pPr>
            <w:r>
              <w:t xml:space="preserve">352</w:t>
            </w:r>
          </w:p>
        </w:tc>
        <w:tc>
          <w:tcPr/>
          <w:p>
            <w:pPr>
              <w:pStyle w:val="Compact"/>
            </w:pPr>
            <w:r>
              <w:t xml:space="preserve">—</w:t>
            </w:r>
          </w:p>
        </w:tc>
      </w:tr>
      <w:tr>
        <w:tc>
          <w:tcPr/>
          <w:p>
            <w:pPr>
              <w:pStyle w:val="Compact"/>
            </w:pPr>
            <w:r>
              <w:t xml:space="preserve">República Dominicana</w:t>
            </w:r>
          </w:p>
        </w:tc>
        <w:tc>
          <w:tcPr/>
          <w:p>
            <w:pPr>
              <w:pStyle w:val="Compact"/>
            </w:pPr>
            <w:r>
              <w:t xml:space="preserve">346</w:t>
            </w:r>
          </w:p>
        </w:tc>
        <w:tc>
          <w:tcPr/>
          <w:p>
            <w:pPr>
              <w:pStyle w:val="Compact"/>
            </w:pPr>
            <w:r>
              <w:t xml:space="preserve">—</w:t>
            </w:r>
          </w:p>
        </w:tc>
      </w:tr>
      <w:tr>
        <w:tc>
          <w:tcPr/>
          <w:p>
            <w:pPr>
              <w:pStyle w:val="Compact"/>
            </w:pPr>
            <w:r>
              <w:t xml:space="preserve">Guatemala</w:t>
            </w:r>
          </w:p>
        </w:tc>
        <w:tc>
          <w:tcPr/>
          <w:p>
            <w:pPr>
              <w:pStyle w:val="Compact"/>
            </w:pPr>
            <w:r>
              <w:t xml:space="preserve">337</w:t>
            </w:r>
          </w:p>
        </w:tc>
        <w:tc>
          <w:tcPr/>
          <w:p>
            <w:pPr>
              <w:pStyle w:val="Compact"/>
            </w:pPr>
            <w:r>
              <w:t xml:space="preserve">—</w:t>
            </w:r>
          </w:p>
        </w:tc>
      </w:tr>
      <w:tr>
        <w:tc>
          <w:tcPr/>
          <w:p>
            <w:pPr>
              <w:pStyle w:val="Compact"/>
            </w:pPr>
            <w:r>
              <w:rPr>
                <w:b/>
                <w:bCs/>
              </w:rPr>
              <w:t xml:space="preserve">Promedio de América Latina</w:t>
            </w:r>
          </w:p>
        </w:tc>
        <w:tc>
          <w:tcPr/>
          <w:p>
            <w:pPr>
              <w:pStyle w:val="Compact"/>
            </w:pPr>
            <w:r>
              <w:rPr>
                <w:b/>
                <w:bCs/>
              </w:rPr>
              <w:t xml:space="preserve">389</w:t>
            </w:r>
            <w:r>
              <w:t xml:space="preserve"> </w:t>
            </w:r>
            <w:r>
              <w:t xml:space="preserve">(399 en 2022)</w:t>
            </w:r>
          </w:p>
        </w:tc>
        <w:tc>
          <w:tcPr/>
          <w:p>
            <w:pPr>
              <w:pStyle w:val="Compact"/>
            </w:pPr>
            <w:r>
              <w:t xml:space="preserve">−10</w:t>
            </w:r>
          </w:p>
        </w:tc>
      </w:tr>
      <w:tr>
        <w:tc>
          <w:tcPr/>
          <w:p>
            <w:pPr>
              <w:pStyle w:val="Compact"/>
            </w:pPr>
            <w:r>
              <w:t xml:space="preserve">Promedio OCDE</w:t>
            </w:r>
          </w:p>
        </w:tc>
        <w:tc>
          <w:tcPr/>
          <w:p>
            <w:pPr>
              <w:pStyle w:val="Compact"/>
            </w:pPr>
            <w:r>
              <w:t xml:space="preserve">461</w:t>
            </w:r>
          </w:p>
        </w:tc>
        <w:tc>
          <w:tcPr/>
          <w:p>
            <w:pPr>
              <w:pStyle w:val="Compact"/>
            </w:pPr>
            <w:r>
              <w:t xml:space="preserve">—</w:t>
            </w:r>
          </w:p>
        </w:tc>
      </w:tr>
      <w:tr>
        <w:tc>
          <w:tcPr/>
          <w:p>
            <w:pPr>
              <w:pStyle w:val="Compact"/>
            </w:pPr>
            <w:r>
              <w:t xml:space="preserve">España</w:t>
            </w:r>
          </w:p>
        </w:tc>
        <w:tc>
          <w:tcPr/>
          <w:p>
            <w:pPr>
              <w:pStyle w:val="Compact"/>
            </w:pPr>
            <w:r>
              <w:t xml:space="preserve">Bajo el promedio OCDE; −23 puntos en lectura; su peor resultado histórico</w:t>
            </w:r>
          </w:p>
        </w:tc>
        <w:tc>
          <w:tcPr/>
          <w:p>
            <w:pPr>
              <w:pStyle w:val="Compact"/>
            </w:pPr>
            <w:r>
              <w:t xml:space="preserve">Puntaje no verificado aquí [V]</w:t>
            </w:r>
          </w:p>
        </w:tc>
      </w:tr>
    </w:tbl>
    <w:p>
      <w:pPr>
        <w:pStyle w:val="BodyText"/>
      </w:pPr>
      <w:r>
        <w:rPr>
          <w:b/>
          <w:bCs/>
        </w:rPr>
        <w:t xml:space="preserve">Fuentes:</w:t>
      </w:r>
      <w:r>
        <w:t xml:space="preserve"> </w:t>
      </w:r>
      <w:r>
        <w:t xml:space="preserve">- [P] BID (2026),</w:t>
      </w:r>
      <w:r>
        <w:t xml:space="preserve"> </w:t>
      </w:r>
      <w:r>
        <w:rPr>
          <w:i/>
          <w:iCs/>
        </w:rPr>
        <w:t xml:space="preserve">PISA en América Latina y el Caribe 2025: ¿cómo le fue a la región?</w:t>
      </w:r>
      <w:r>
        <w:t xml:space="preserve">: https://publications.iadb.org/publications/spanish/document/PISA-en-America-Latina-y-el-Caribe-2025-Como-le-fue-a-la-Region.pdf</w:t>
      </w:r>
      <w:r>
        <w:t xml:space="preserve"> </w:t>
      </w:r>
      <w:r>
        <w:t xml:space="preserve">- [S] Argentinos por la Educación (2026), para el promedio regional de 2022 a 2025.</w:t>
      </w:r>
      <w:r>
        <w:t xml:space="preserve"> </w:t>
      </w:r>
      <w:r>
        <w:t xml:space="preserve">- [S] BBC Mundo, 8 de septiembre de 2026, para los cambios por país y España: https://www.bbc.com/mundo/articles/c1kx8d94422o</w:t>
      </w:r>
    </w:p>
    <w:p>
      <w:pPr>
        <w:pStyle w:val="BodyText"/>
      </w:pPr>
      <w:r>
        <w:rPr>
          <w:b/>
          <w:bCs/>
        </w:rPr>
        <w:t xml:space="preserve">Mensaje de la OCDE (citado por BBC Mundo):</w:t>
      </w:r>
      <w:r>
        <w:t xml:space="preserve"> </w:t>
      </w:r>
      <w:r>
        <w:t xml:space="preserve">- La lectura cayó</w:t>
      </w:r>
      <w:r>
        <w:t xml:space="preserve"> </w:t>
      </w:r>
      <w:r>
        <w:t xml:space="preserve">“incluso en habilidades que son cruciales en la era de la IA: evaluar información, establecer conexiones entre múltiples fuentes y pensar críticamente sobre lo que leemos”</w:t>
      </w:r>
      <w:r>
        <w:t xml:space="preserve">.</w:t>
      </w:r>
      <w:r>
        <w:t xml:space="preserve"> </w:t>
      </w:r>
      <w:r>
        <w:t xml:space="preserve">- Los estudiantes que usan IA para tareas específicas, como resumir, redactar o investigar, obtienen en promedio unos 20 puntos menos en ciencias que quienes no la usan.</w:t>
      </w:r>
      <w:r>
        <w:t xml:space="preserve"> </w:t>
      </w:r>
      <w:r>
        <w:t xml:space="preserve">- En cambio, quienes la usan con fines generales y tienen formación en alfabetización en IA rinden igual o ligeramente mejor.</w:t>
      </w:r>
      <w:r>
        <w:t xml:space="preserve"> </w:t>
      </w:r>
      <w:r>
        <w:t xml:space="preserve">-</w:t>
      </w:r>
      <w:r>
        <w:t xml:space="preserve"> </w:t>
      </w:r>
      <w:r>
        <w:rPr>
          <w:b/>
          <w:bCs/>
        </w:rPr>
        <w:t xml:space="preserve">PISA 2029</w:t>
      </w:r>
      <w:r>
        <w:t xml:space="preserve"> </w:t>
      </w:r>
      <w:r>
        <w:t xml:space="preserve">tendrá como foco la lectura, con alfabetización mediática y en IA como dominio innovador (OCDE, página del programa PISA).</w:t>
      </w:r>
    </w:p>
    <w:bookmarkEnd w:id="14"/>
    <w:bookmarkStart w:id="15" w:name="X15449a41a05cc8c827d4fbe1d5e4c3cb9bd0b95"/>
    <w:p>
      <w:pPr>
        <w:pStyle w:val="Heading3"/>
      </w:pPr>
      <w:r>
        <w:t xml:space="preserve">3.2 Primaria: ERCE 2019 y pobreza de aprendizaje</w:t>
      </w:r>
    </w:p>
    <w:p>
      <w:pPr>
        <w:pStyle w:val="Compact"/>
        <w:numPr>
          <w:ilvl w:val="0"/>
          <w:numId w:val="1011"/>
        </w:numPr>
      </w:pPr>
      <w:r>
        <w:rPr>
          <w:b/>
          <w:bCs/>
        </w:rPr>
        <w:t xml:space="preserve">ERCE 2019 (16 países).</w:t>
      </w:r>
    </w:p>
    <w:p>
      <w:pPr>
        <w:pStyle w:val="Compact"/>
        <w:numPr>
          <w:ilvl w:val="1"/>
          <w:numId w:val="1012"/>
        </w:numPr>
      </w:pPr>
      <w:r>
        <w:t xml:space="preserve">En 3.° grado, solo el 55,7 % de la región supera el nivel I de lectura.</w:t>
      </w:r>
    </w:p>
    <w:p>
      <w:pPr>
        <w:pStyle w:val="Compact"/>
        <w:numPr>
          <w:ilvl w:val="1"/>
          <w:numId w:val="1012"/>
        </w:numPr>
      </w:pPr>
      <w:r>
        <w:t xml:space="preserve">En 6.° grado, solo el</w:t>
      </w:r>
      <w:r>
        <w:t xml:space="preserve"> </w:t>
      </w:r>
      <w:r>
        <w:rPr>
          <w:b/>
          <w:bCs/>
        </w:rPr>
        <w:t xml:space="preserve">31,2 %</w:t>
      </w:r>
      <w:r>
        <w:t xml:space="preserve"> </w:t>
      </w:r>
      <w:r>
        <w:t xml:space="preserve">alcanza el nivel mínimo (nivel III), que supone inferir a partir de ideas secundarias o implícitas y comparar dos textos por su propósito.</w:t>
      </w:r>
    </w:p>
    <w:p>
      <w:pPr>
        <w:pStyle w:val="Compact"/>
        <w:numPr>
          <w:ilvl w:val="1"/>
          <w:numId w:val="1012"/>
        </w:numPr>
      </w:pPr>
      <w:r>
        <w:t xml:space="preserve">La prueba evalúa comprensión</w:t>
      </w:r>
      <w:r>
        <w:t xml:space="preserve"> </w:t>
      </w:r>
      <w:r>
        <w:rPr>
          <w:b/>
          <w:bCs/>
        </w:rPr>
        <w:t xml:space="preserve">literal, inferencial y crítica</w:t>
      </w:r>
      <w:r>
        <w:t xml:space="preserve"> </w:t>
      </w:r>
      <w:r>
        <w:t xml:space="preserve">(UNESCO-LLECE, informe regional) [P].</w:t>
      </w:r>
    </w:p>
    <w:p>
      <w:pPr>
        <w:pStyle w:val="Compact"/>
        <w:numPr>
          <w:ilvl w:val="0"/>
          <w:numId w:val="1011"/>
        </w:numPr>
      </w:pPr>
      <w:r>
        <w:rPr>
          <w:b/>
          <w:bCs/>
        </w:rPr>
        <w:t xml:space="preserve">Pobreza de aprendizaje.</w:t>
      </w:r>
    </w:p>
    <w:p>
      <w:pPr>
        <w:pStyle w:val="Compact"/>
        <w:numPr>
          <w:ilvl w:val="1"/>
          <w:numId w:val="1013"/>
        </w:numPr>
      </w:pPr>
      <w:r>
        <w:t xml:space="preserve">El Banco Mundial y UNICEF proyectaron en 2022 que</w:t>
      </w:r>
      <w:r>
        <w:t xml:space="preserve"> </w:t>
      </w:r>
      <w:r>
        <w:rPr>
          <w:b/>
          <w:bCs/>
        </w:rPr>
        <w:t xml:space="preserve">4 de cada 5 alumnos de 6.° grado</w:t>
      </w:r>
      <w:r>
        <w:t xml:space="preserve"> </w:t>
      </w:r>
      <w:r>
        <w:t xml:space="preserve">de América Latina y el Caribe no alcanzarían la comprensión lectora mínima, frente a cerca del 50 % antes de la pandemia.</w:t>
      </w:r>
    </w:p>
    <w:p>
      <w:pPr>
        <w:pStyle w:val="Compact"/>
        <w:numPr>
          <w:ilvl w:val="1"/>
          <w:numId w:val="1013"/>
        </w:numPr>
      </w:pPr>
      <w:r>
        <w:t xml:space="preserve">Estimaron una pérdida de unos 1,5 años de aprendizaje y una reducción del 12 % en los ingresos a lo largo de la vida [P]: https://www.bancomundial.org/es/news/press-release/2022/06/23/education-latin-america</w:t>
      </w:r>
    </w:p>
    <w:bookmarkEnd w:id="15"/>
    <w:bookmarkStart w:id="16" w:name="pérdidas-por-la-pandemia-y-recuperación"/>
    <w:p>
      <w:pPr>
        <w:pStyle w:val="Heading3"/>
      </w:pPr>
      <w:r>
        <w:t xml:space="preserve">3.3 Pérdidas por la pandemia y recuperación</w:t>
      </w:r>
    </w:p>
    <w:p>
      <w:pPr>
        <w:pStyle w:val="Compact"/>
        <w:numPr>
          <w:ilvl w:val="0"/>
          <w:numId w:val="1014"/>
        </w:numPr>
      </w:pPr>
      <w:r>
        <w:rPr>
          <w:b/>
          <w:bCs/>
        </w:rPr>
        <w:t xml:space="preserve">En la región</w:t>
      </w:r>
      <w:r>
        <w:t xml:space="preserve">, los estudios reportan caídas en las pruebas estandarizadas (revisión sistemática de 24 estudios; Cortés-Albornoz et al., 2023).</w:t>
      </w:r>
    </w:p>
    <w:p>
      <w:pPr>
        <w:pStyle w:val="Compact"/>
        <w:numPr>
          <w:ilvl w:val="0"/>
          <w:numId w:val="1014"/>
        </w:numPr>
      </w:pPr>
      <w:r>
        <w:rPr>
          <w:b/>
          <w:bCs/>
        </w:rPr>
        <w:t xml:space="preserve">En Brasil</w:t>
      </w:r>
      <w:r>
        <w:t xml:space="preserve">, las pérdidas en matemática persistieron después de la reapertura (de Medeiros Miranda y Baum, 2024).</w:t>
      </w:r>
    </w:p>
    <w:p>
      <w:pPr>
        <w:pStyle w:val="Compact"/>
        <w:numPr>
          <w:ilvl w:val="0"/>
          <w:numId w:val="1014"/>
        </w:numPr>
      </w:pPr>
      <w:r>
        <w:rPr>
          <w:b/>
          <w:bCs/>
        </w:rPr>
        <w:t xml:space="preserve">En Chile</w:t>
      </w:r>
      <w:r>
        <w:t xml:space="preserve">, en 2.° grado después de la pandemia, el</w:t>
      </w:r>
      <w:r>
        <w:t xml:space="preserve"> </w:t>
      </w:r>
      <w:r>
        <w:rPr>
          <w:b/>
          <w:bCs/>
        </w:rPr>
        <w:t xml:space="preserve">60 %</w:t>
      </w:r>
      <w:r>
        <w:t xml:space="preserve"> </w:t>
      </w:r>
      <w:r>
        <w:t xml:space="preserve">lee por debajo de lo esperado al final de 1.° (Claro et al., 2025).</w:t>
      </w:r>
    </w:p>
    <w:p>
      <w:pPr>
        <w:pStyle w:val="Compact"/>
        <w:numPr>
          <w:ilvl w:val="1"/>
          <w:numId w:val="1015"/>
        </w:numPr>
      </w:pPr>
      <w:r>
        <w:t xml:space="preserve">Esto no se explica por la comprensión oral: el 63 % de esos niños comprende oralmente por encima de su grado.</w:t>
      </w:r>
    </w:p>
    <w:p>
      <w:pPr>
        <w:pStyle w:val="Compact"/>
        <w:numPr>
          <w:ilvl w:val="1"/>
          <w:numId w:val="1015"/>
        </w:numPr>
      </w:pPr>
      <w:r>
        <w:t xml:space="preserve">Sí se explica por el reconocimiento de palabras frecuentes, débil en el 88 % de ellos, y por el vocabulario, débil en el 58 %.</w:t>
      </w:r>
    </w:p>
    <w:p>
      <w:pPr>
        <w:pStyle w:val="Compact"/>
        <w:numPr>
          <w:ilvl w:val="0"/>
          <w:numId w:val="1014"/>
        </w:numPr>
      </w:pPr>
      <w:r>
        <w:rPr>
          <w:b/>
          <w:bCs/>
        </w:rPr>
        <w:t xml:space="preserve">En el Perú</w:t>
      </w:r>
      <w:r>
        <w:t xml:space="preserve">, la lectura se recuperó en 4.° de primaria hacia 2024, pero las brechas rurales se ampliaron en 2022 (sección 2.1).</w:t>
      </w:r>
    </w:p>
    <w:p>
      <w:r>
        <w:pict>
          <v:rect style="width:0;height:1.5pt" o:hralign="center" o:hrstd="t" o:hr="t"/>
        </w:pict>
      </w:r>
    </w:p>
    <w:bookmarkEnd w:id="16"/>
    <w:bookmarkEnd w:id="17"/>
    <w:bookmarkStart w:id="18" w:name="X01c063489956780d9df63f7148064789e0efb44"/>
    <w:p>
      <w:pPr>
        <w:pStyle w:val="Heading2"/>
      </w:pPr>
      <w:r>
        <w:t xml:space="preserve">4. Secundaria, ingreso a la universidad y literacidad académica</w:t>
      </w:r>
    </w:p>
    <w:p>
      <w:pPr>
        <w:pStyle w:val="Compact"/>
        <w:numPr>
          <w:ilvl w:val="0"/>
          <w:numId w:val="1016"/>
        </w:numPr>
      </w:pPr>
      <w:r>
        <w:rPr>
          <w:b/>
          <w:bCs/>
        </w:rPr>
        <w:t xml:space="preserve">Egreso escolar.</w:t>
      </w:r>
    </w:p>
    <w:p>
      <w:pPr>
        <w:pStyle w:val="Compact"/>
        <w:numPr>
          <w:ilvl w:val="1"/>
          <w:numId w:val="1017"/>
        </w:numPr>
      </w:pPr>
      <w:r>
        <w:t xml:space="preserve">En el Perú, solo el 11,3 % alcanza el nivel Satisfactorio en 5.° de secundaria (ENLA 2025).</w:t>
      </w:r>
    </w:p>
    <w:p>
      <w:pPr>
        <w:pStyle w:val="Compact"/>
        <w:numPr>
          <w:ilvl w:val="1"/>
          <w:numId w:val="1017"/>
        </w:numPr>
      </w:pPr>
      <w:r>
        <w:t xml:space="preserve">En Chile, las brechas entre colegios públicos y privados persisten en SIMCE, PSU, PDT y PAES, y crecen con la edad hasta 1,7 DE en la adultez (Rosas Díaz et al., 2026).</w:t>
      </w:r>
    </w:p>
    <w:p>
      <w:pPr>
        <w:pStyle w:val="Compact"/>
        <w:numPr>
          <w:ilvl w:val="0"/>
          <w:numId w:val="1016"/>
        </w:numPr>
      </w:pPr>
      <w:r>
        <w:rPr>
          <w:b/>
          <w:bCs/>
        </w:rPr>
        <w:t xml:space="preserve">Ingresantes peruanos.</w:t>
      </w:r>
    </w:p>
    <w:p>
      <w:pPr>
        <w:pStyle w:val="Compact"/>
        <w:numPr>
          <w:ilvl w:val="1"/>
          <w:numId w:val="1018"/>
        </w:numPr>
      </w:pPr>
      <w:r>
        <w:t xml:space="preserve">En Arequipa, 90 ingresantes de tres universidades privadas mostraron, en promedio,</w:t>
      </w:r>
      <w:r>
        <w:t xml:space="preserve"> </w:t>
      </w:r>
      <w:r>
        <w:rPr>
          <w:b/>
          <w:bCs/>
        </w:rPr>
        <w:t xml:space="preserve">bajo nivel de comprensión inferencial</w:t>
      </w:r>
      <w:r>
        <w:t xml:space="preserve">, con más dificultad en textos científicos y humanísticos. Los egresados de colegios privados rindieron mejor (Duche-Pérez et al., 2022).</w:t>
      </w:r>
    </w:p>
    <w:p>
      <w:pPr>
        <w:pStyle w:val="Compact"/>
        <w:numPr>
          <w:ilvl w:val="1"/>
          <w:numId w:val="1018"/>
        </w:numPr>
      </w:pPr>
      <w:r>
        <w:t xml:space="preserve">En la UNE y la UNMSM predomina el nivel literal (Aguilar Huayta y Arias Centeno, 2025; informe anterior).</w:t>
      </w:r>
    </w:p>
    <w:p>
      <w:pPr>
        <w:pStyle w:val="Compact"/>
        <w:numPr>
          <w:ilvl w:val="0"/>
          <w:numId w:val="1016"/>
        </w:numPr>
      </w:pPr>
      <w:r>
        <w:rPr>
          <w:b/>
          <w:bCs/>
        </w:rPr>
        <w:t xml:space="preserve">Ingresantes en México.</w:t>
      </w:r>
      <w:r>
        <w:t xml:space="preserve"> </w:t>
      </w:r>
      <w:r>
        <w:t xml:space="preserve">Con la prueba COMPLECsec, la mediana de aciertos fue de cerca del 55 %, con gran heterogeneidad (López-Rodríguez et al., 2025, Lectobot).</w:t>
      </w:r>
    </w:p>
    <w:p>
      <w:pPr>
        <w:pStyle w:val="Compact"/>
        <w:numPr>
          <w:ilvl w:val="0"/>
          <w:numId w:val="1016"/>
        </w:numPr>
      </w:pPr>
      <w:r>
        <w:rPr>
          <w:b/>
          <w:bCs/>
        </w:rPr>
        <w:t xml:space="preserve">Argentina.</w:t>
      </w:r>
      <w:r>
        <w:t xml:space="preserve"> </w:t>
      </w:r>
      <w:r>
        <w:t xml:space="preserve">En 440 ingresantes de Psicología (UNC), las estrategias de lectura y escritura del curso de ingreso influyen en el rendimiento, pero las trayectorias de alfabetización académica en la secundaria no lo discriminan (Vega et al., 2022).</w:t>
      </w:r>
    </w:p>
    <w:p>
      <w:pPr>
        <w:pStyle w:val="Compact"/>
        <w:numPr>
          <w:ilvl w:val="0"/>
          <w:numId w:val="1016"/>
        </w:numPr>
      </w:pPr>
      <w:r>
        <w:rPr>
          <w:b/>
          <w:bCs/>
        </w:rPr>
        <w:t xml:space="preserve">Colombia.</w:t>
      </w:r>
    </w:p>
    <w:p>
      <w:pPr>
        <w:pStyle w:val="Compact"/>
        <w:numPr>
          <w:ilvl w:val="1"/>
          <w:numId w:val="1019"/>
        </w:numPr>
      </w:pPr>
      <w:r>
        <w:t xml:space="preserve">Hay centros y programas de escritura con modelos administrativos diversos (Olave Arias y Rojas García, 2026).</w:t>
      </w:r>
    </w:p>
    <w:p>
      <w:pPr>
        <w:pStyle w:val="Compact"/>
        <w:numPr>
          <w:ilvl w:val="1"/>
          <w:numId w:val="1019"/>
        </w:numPr>
      </w:pPr>
      <w:r>
        <w:t xml:space="preserve">No hay diferencias de valor agregado en</w:t>
      </w:r>
      <w:r>
        <w:t xml:space="preserve"> </w:t>
      </w:r>
      <w:r>
        <w:rPr>
          <w:b/>
          <w:bCs/>
        </w:rPr>
        <w:t xml:space="preserve">lectura crítica</w:t>
      </w:r>
      <w:r>
        <w:t xml:space="preserve"> </w:t>
      </w:r>
      <w:r>
        <w:t xml:space="preserve">(Saber Pro) entre universidades públicas y privadas (Rodríguez Revilla y Vallejo Molina, 2022).</w:t>
      </w:r>
    </w:p>
    <w:p>
      <w:pPr>
        <w:pStyle w:val="Compact"/>
        <w:numPr>
          <w:ilvl w:val="1"/>
          <w:numId w:val="1019"/>
        </w:numPr>
      </w:pPr>
      <w:r>
        <w:t xml:space="preserve">Se diseñan pruebas de lectura crítica para la educación terciaria con el marco del ICFES (Pulido Aguirre y Ferreira, 2023).</w:t>
      </w:r>
    </w:p>
    <w:p>
      <w:pPr>
        <w:pStyle w:val="Compact"/>
        <w:numPr>
          <w:ilvl w:val="0"/>
          <w:numId w:val="1016"/>
        </w:numPr>
      </w:pPr>
      <w:r>
        <w:rPr>
          <w:b/>
          <w:bCs/>
        </w:rPr>
        <w:t xml:space="preserve">Vocabulario académico.</w:t>
      </w:r>
      <w:r>
        <w:t xml:space="preserve"> </w:t>
      </w:r>
      <w:r>
        <w:t xml:space="preserve">En México, comprensión y vocabulario académico se refuerzan mutuamente, y el análisis morfológico es la estrategia más eficaz (Hess Zimmermann et al., 2025).</w:t>
      </w:r>
    </w:p>
    <w:p>
      <w:pPr>
        <w:pStyle w:val="Compact"/>
        <w:numPr>
          <w:ilvl w:val="0"/>
          <w:numId w:val="1016"/>
        </w:numPr>
      </w:pPr>
      <w:r>
        <w:rPr>
          <w:b/>
          <w:bCs/>
        </w:rPr>
        <w:t xml:space="preserve">IA en la universidad (Perú).</w:t>
      </w:r>
    </w:p>
    <w:p>
      <w:pPr>
        <w:pStyle w:val="Compact"/>
        <w:numPr>
          <w:ilvl w:val="1"/>
          <w:numId w:val="1020"/>
        </w:numPr>
      </w:pPr>
      <w:r>
        <w:t xml:space="preserve">En 418 universitarios se observó un continuo que va de la interacción de calidad con ChatGPT (verificar, reescribir, apropiarse) a la de baja calidad (delegación cognitiva, exceso de confianza, ocultamiento) (Deroncele-Acosta et al., 2026).</w:t>
      </w:r>
    </w:p>
    <w:p>
      <w:pPr>
        <w:pStyle w:val="Compact"/>
        <w:numPr>
          <w:ilvl w:val="1"/>
          <w:numId w:val="1020"/>
        </w:numPr>
      </w:pPr>
      <w:r>
        <w:t xml:space="preserve">Un taller con 236 ingresantes de ingeniería aumentó el uso académico de ChatGPT (Flores et al., 2025). Lo que mide es el uso, no la comprensión.</w:t>
      </w:r>
    </w:p>
    <w:p>
      <w:pPr>
        <w:pStyle w:val="Compact"/>
        <w:numPr>
          <w:ilvl w:val="0"/>
          <w:numId w:val="1016"/>
        </w:numPr>
      </w:pPr>
      <w:r>
        <w:rPr>
          <w:b/>
          <w:bCs/>
        </w:rPr>
        <w:t xml:space="preserve">Desinformación.</w:t>
      </w:r>
    </w:p>
    <w:p>
      <w:pPr>
        <w:pStyle w:val="Compact"/>
        <w:numPr>
          <w:ilvl w:val="1"/>
          <w:numId w:val="1021"/>
        </w:numPr>
      </w:pPr>
      <w:r>
        <w:t xml:space="preserve">Estudiantes de 4.° de secundaria de Lima evaluaron de forma casi idéntica las noticias falsas y las verdaderas con la prueba CRAAP (Gómez Rojas y Mateus, 2023).</w:t>
      </w:r>
    </w:p>
    <w:p>
      <w:pPr>
        <w:pStyle w:val="Compact"/>
        <w:numPr>
          <w:ilvl w:val="1"/>
          <w:numId w:val="1021"/>
        </w:numPr>
      </w:pPr>
      <w:r>
        <w:t xml:space="preserve">Las intervenciones universitarias contra la desinformación se concentran en EE. UU. y usan instrumentos poco validados (Etesse et al., 2025).</w:t>
      </w:r>
    </w:p>
    <w:bookmarkEnd w:id="18"/>
    <w:bookmarkStart w:id="19" w:name="prácticas-docentes"/>
    <w:p>
      <w:pPr>
        <w:pStyle w:val="Heading2"/>
      </w:pPr>
      <w:r>
        <w:t xml:space="preserve">5. Prácticas docentes</w:t>
      </w:r>
    </w:p>
    <w:p>
      <w:pPr>
        <w:pStyle w:val="Compact"/>
        <w:numPr>
          <w:ilvl w:val="0"/>
          <w:numId w:val="1022"/>
        </w:numPr>
      </w:pPr>
      <w:r>
        <w:rPr>
          <w:b/>
          <w:bCs/>
        </w:rPr>
        <w:t xml:space="preserve">Lo que dicen las evaluaciones nacionales.</w:t>
      </w:r>
    </w:p>
    <w:p>
      <w:pPr>
        <w:pStyle w:val="Compact"/>
        <w:numPr>
          <w:ilvl w:val="1"/>
          <w:numId w:val="1023"/>
        </w:numPr>
      </w:pPr>
      <w:r>
        <w:t xml:space="preserve">Solo el</w:t>
      </w:r>
      <w:r>
        <w:t xml:space="preserve"> </w:t>
      </w:r>
      <w:r>
        <w:rPr>
          <w:b/>
          <w:bCs/>
        </w:rPr>
        <w:t xml:space="preserve">13,8 %</w:t>
      </w:r>
      <w:r>
        <w:t xml:space="preserve"> </w:t>
      </w:r>
      <w:r>
        <w:t xml:space="preserve">de las preguntas planteadas por los docentes apunta a la reflexión (D3, con datos de la UMC).</w:t>
      </w:r>
    </w:p>
    <w:p>
      <w:pPr>
        <w:pStyle w:val="Compact"/>
        <w:numPr>
          <w:ilvl w:val="1"/>
          <w:numId w:val="1023"/>
        </w:numPr>
      </w:pPr>
      <w:r>
        <w:t xml:space="preserve">La ENLA 2025 asocia el mejor desempeño con la</w:t>
      </w:r>
      <w:r>
        <w:t xml:space="preserve"> </w:t>
      </w:r>
      <w:r>
        <w:rPr>
          <w:b/>
          <w:bCs/>
        </w:rPr>
        <w:t xml:space="preserve">retroalimentación</w:t>
      </w:r>
      <w:r>
        <w:t xml:space="preserve"> </w:t>
      </w:r>
      <w:r>
        <w:t xml:space="preserve">y la</w:t>
      </w:r>
      <w:r>
        <w:t xml:space="preserve"> </w:t>
      </w:r>
      <w:r>
        <w:rPr>
          <w:b/>
          <w:bCs/>
        </w:rPr>
        <w:t xml:space="preserve">participación en el aula</w:t>
      </w:r>
      <w:r>
        <w:t xml:space="preserve"> </w:t>
      </w:r>
      <w:r>
        <w:t xml:space="preserve">(Minedu).</w:t>
      </w:r>
    </w:p>
    <w:p>
      <w:pPr>
        <w:pStyle w:val="Compact"/>
        <w:numPr>
          <w:ilvl w:val="1"/>
          <w:numId w:val="1023"/>
        </w:numPr>
      </w:pPr>
      <w:r>
        <w:t xml:space="preserve">Un análisis de la EM 2022 critica las tareas de</w:t>
      </w:r>
      <w:r>
        <w:t xml:space="preserve"> </w:t>
      </w:r>
      <w:r>
        <w:t xml:space="preserve">“repetición, mecanización, extracción y reproducción”</w:t>
      </w:r>
      <w:r>
        <w:t xml:space="preserve"> </w:t>
      </w:r>
      <w:r>
        <w:t xml:space="preserve">en muchas aulas, sobre todo rurales (Llanos, 2023) [S].</w:t>
      </w:r>
    </w:p>
    <w:p>
      <w:pPr>
        <w:pStyle w:val="Compact"/>
        <w:numPr>
          <w:ilvl w:val="0"/>
          <w:numId w:val="1022"/>
        </w:numPr>
      </w:pPr>
      <w:r>
        <w:rPr>
          <w:b/>
          <w:bCs/>
        </w:rPr>
        <w:t xml:space="preserve">Lo que reportan los propios docentes</w:t>
      </w:r>
      <w:r>
        <w:t xml:space="preserve"> </w:t>
      </w:r>
      <w:r>
        <w:t xml:space="preserve">(evidencia débil).</w:t>
      </w:r>
    </w:p>
    <w:p>
      <w:pPr>
        <w:pStyle w:val="Compact"/>
        <w:numPr>
          <w:ilvl w:val="1"/>
          <w:numId w:val="1024"/>
        </w:numPr>
      </w:pPr>
      <w:r>
        <w:t xml:space="preserve">En Talavera (Apurímac), el 71,4 % de 75 docentes de primaria declara prácticas favorables (Hurtado Núñez et al., 2026).</w:t>
      </w:r>
    </w:p>
    <w:p>
      <w:pPr>
        <w:pStyle w:val="Compact"/>
        <w:numPr>
          <w:ilvl w:val="1"/>
          <w:numId w:val="1024"/>
        </w:numPr>
      </w:pPr>
      <w:r>
        <w:t xml:space="preserve">Una revisión de 13 estudios peruanos lista estrategias como las de Isabel Solé, el aprendizaje basado en problemas y el método interrogativo (Ramos Vílchez et al., 2024).</w:t>
      </w:r>
    </w:p>
    <w:p>
      <w:pPr>
        <w:pStyle w:val="Compact"/>
        <w:numPr>
          <w:ilvl w:val="1"/>
          <w:numId w:val="1024"/>
        </w:numPr>
      </w:pPr>
      <w:r>
        <w:t xml:space="preserve">Esto contrasta con el bajo peso de las preguntas de reflexión observado por la UMC.</w:t>
      </w:r>
    </w:p>
    <w:p>
      <w:pPr>
        <w:pStyle w:val="Compact"/>
        <w:numPr>
          <w:ilvl w:val="0"/>
          <w:numId w:val="1022"/>
        </w:numPr>
      </w:pPr>
      <w:r>
        <w:rPr>
          <w:b/>
          <w:bCs/>
        </w:rPr>
        <w:t xml:space="preserve">Formación docente y ciencia de la lectura.</w:t>
      </w:r>
      <w:r>
        <w:t xml:space="preserve"> </w:t>
      </w:r>
      <w:r>
        <w:t xml:space="preserve">El debate peruano reciente pide enseñanza explícita y sistemática de la decodificación, la fluidez, el vocabulario y la lectura independiente (Tapia Montesinos, 2026, blog) [S]. Es coherente con la evidencia chilena y dominicana.</w:t>
      </w:r>
    </w:p>
    <w:p>
      <w:pPr>
        <w:pStyle w:val="Compact"/>
        <w:numPr>
          <w:ilvl w:val="0"/>
          <w:numId w:val="1022"/>
        </w:numPr>
      </w:pPr>
      <w:r>
        <w:rPr>
          <w:b/>
          <w:bCs/>
        </w:rPr>
        <w:t xml:space="preserve">PISA 2025 (Perú).</w:t>
      </w:r>
      <w:r>
        <w:t xml:space="preserve"> </w:t>
      </w:r>
      <w:r>
        <w:t xml:space="preserve">El 84 % de los estudiantes dice que el docente se interesa por su aprendizaje (OCDE: 69 %), pero el clima de disciplina no mejoró desde 2015.</w:t>
      </w:r>
    </w:p>
    <w:p>
      <w:r>
        <w:pict>
          <v:rect style="width:0;height:1.5pt" o:hralign="center" o:hrstd="t" o:hr="t"/>
        </w:pict>
      </w:r>
    </w:p>
    <w:bookmarkEnd w:id="19"/>
    <w:bookmarkStart w:id="22" w:name="X90a5313e7bcdba076d34d6e23773d16216daad1"/>
    <w:p>
      <w:pPr>
        <w:pStyle w:val="Heading2"/>
      </w:pPr>
      <w:r>
        <w:t xml:space="preserve">6. Literatura 2022-2026 sobre comprensión lectora y pensamiento crítico en hispanohablantes</w:t>
      </w:r>
    </w:p>
    <w:p>
      <w:pPr>
        <w:pStyle w:val="FirstParagraph"/>
      </w:pPr>
      <w:r>
        <w:t xml:space="preserve">En la columna Relevancia,</w:t>
      </w:r>
      <w:r>
        <w:t xml:space="preserve"> </w:t>
      </w:r>
      <w:r>
        <w:rPr>
          <w:b/>
          <w:bCs/>
        </w:rPr>
        <w:t xml:space="preserve">(débil)</w:t>
      </w:r>
      <w:r>
        <w:t xml:space="preserve"> </w:t>
      </w:r>
      <w:r>
        <w:t xml:space="preserve">marca diseños no causales, de autorreporte o con muestras pequeñas.</w:t>
      </w:r>
    </w:p>
    <w:bookmarkStart w:id="20" w:name="perú"/>
    <w:p>
      <w:pPr>
        <w:pStyle w:val="Heading3"/>
      </w:pPr>
      <w:r>
        <w:t xml:space="preserve">6.1 Perú</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Cita</w:t>
            </w:r>
          </w:p>
        </w:tc>
        <w:tc>
          <w:tcPr/>
          <w:p>
            <w:pPr>
              <w:pStyle w:val="Compact"/>
            </w:pPr>
            <w:r>
              <w:t xml:space="preserve">Año</w:t>
            </w:r>
          </w:p>
        </w:tc>
        <w:tc>
          <w:tcPr/>
          <w:p>
            <w:pPr>
              <w:pStyle w:val="Compact"/>
            </w:pPr>
            <w:r>
              <w:t xml:space="preserve">Ámbito</w:t>
            </w:r>
          </w:p>
        </w:tc>
        <w:tc>
          <w:tcPr/>
          <w:p>
            <w:pPr>
              <w:pStyle w:val="Compact"/>
            </w:pPr>
            <w:r>
              <w:t xml:space="preserve">Método y muestra</w:t>
            </w:r>
          </w:p>
        </w:tc>
        <w:tc>
          <w:tcPr/>
          <w:p>
            <w:pPr>
              <w:pStyle w:val="Compact"/>
            </w:pPr>
            <w:r>
              <w:t xml:space="preserve">Hallazgo clave</w:t>
            </w:r>
          </w:p>
        </w:tc>
        <w:tc>
          <w:tcPr/>
          <w:p>
            <w:pPr>
              <w:pStyle w:val="Compact"/>
            </w:pPr>
            <w:r>
              <w:t xml:space="preserve">Relevancia</w:t>
            </w:r>
          </w:p>
        </w:tc>
        <w:tc>
          <w:tcPr/>
          <w:p>
            <w:pPr>
              <w:pStyle w:val="Compact"/>
            </w:pPr>
            <w:r>
              <w:t xml:space="preserve">DOI</w:t>
            </w:r>
          </w:p>
        </w:tc>
      </w:tr>
      <w:tr>
        <w:tc>
          <w:tcPr/>
          <w:p>
            <w:pPr>
              <w:pStyle w:val="Compact"/>
            </w:pPr>
            <w:r>
              <w:t xml:space="preserve">1</w:t>
            </w:r>
          </w:p>
        </w:tc>
        <w:tc>
          <w:tcPr/>
          <w:p>
            <w:pPr>
              <w:pStyle w:val="Compact"/>
            </w:pPr>
            <w:r>
              <w:t xml:space="preserve">Torres-Vega, E. M.</w:t>
            </w:r>
            <w:r>
              <w:t xml:space="preserve"> </w:t>
            </w:r>
            <w:r>
              <w:t xml:space="preserve">“Comprensión lectora en estudiantes de secundaria en Perú”</w:t>
            </w:r>
            <w:r>
              <w:t xml:space="preserve">.</w:t>
            </w:r>
            <w:r>
              <w:t xml:space="preserve"> </w:t>
            </w:r>
            <w:r>
              <w:rPr>
                <w:i/>
                <w:iCs/>
              </w:rPr>
              <w:t xml:space="preserve">Horizontes</w:t>
            </w:r>
            <w:r>
              <w:t xml:space="preserve">.</w:t>
            </w:r>
          </w:p>
        </w:tc>
        <w:tc>
          <w:tcPr/>
          <w:p>
            <w:pPr>
              <w:pStyle w:val="Compact"/>
            </w:pPr>
            <w:r>
              <w:t xml:space="preserve">2025</w:t>
            </w:r>
          </w:p>
        </w:tc>
        <w:tc>
          <w:tcPr/>
          <w:p>
            <w:pPr>
              <w:pStyle w:val="Compact"/>
            </w:pPr>
            <w:r>
              <w:t xml:space="preserve">Lima (El Agustino), secundaria pública</w:t>
            </w:r>
          </w:p>
        </w:tc>
        <w:tc>
          <w:tcPr/>
          <w:p>
            <w:pPr>
              <w:pStyle w:val="Compact"/>
            </w:pPr>
            <w:r>
              <w:t xml:space="preserve">Descriptivo; 317 estudiantes del VI ciclo; prueba CompLEC (recuperar, integrar, reflexionar)</w:t>
            </w:r>
          </w:p>
        </w:tc>
        <w:tc>
          <w:tcPr/>
          <w:p>
            <w:pPr>
              <w:pStyle w:val="Compact"/>
            </w:pPr>
            <w:r>
              <w:t xml:space="preserve">72,2 % en nivel bajo; 1,9 % en nivel alto</w:t>
            </w:r>
          </w:p>
        </w:tc>
        <w:tc>
          <w:tcPr/>
          <w:p>
            <w:pPr>
              <w:pStyle w:val="Compact"/>
            </w:pPr>
            <w:r>
              <w:t xml:space="preserve">Confirma la ENLA a escala local (débil)</w:t>
            </w:r>
          </w:p>
        </w:tc>
        <w:tc>
          <w:tcPr/>
          <w:p>
            <w:pPr>
              <w:pStyle w:val="Compact"/>
            </w:pPr>
            <w:r>
              <w:t xml:space="preserve">https://doi.org/10.33996/revistahorizontes.v9i36.909</w:t>
            </w:r>
          </w:p>
        </w:tc>
      </w:tr>
      <w:tr>
        <w:tc>
          <w:tcPr/>
          <w:p>
            <w:pPr>
              <w:pStyle w:val="Compact"/>
            </w:pPr>
            <w:r>
              <w:t xml:space="preserve">2</w:t>
            </w:r>
          </w:p>
        </w:tc>
        <w:tc>
          <w:tcPr/>
          <w:p>
            <w:pPr>
              <w:pStyle w:val="Compact"/>
            </w:pPr>
            <w:r>
              <w:t xml:space="preserve">Sumarriva-Bustinza, L. A. et al. </w:t>
            </w:r>
            <w:r>
              <w:t xml:space="preserve">“Niveles de comprensión lectora y su frecuencia de uso en estudiantes del distrito de Lima”</w:t>
            </w:r>
            <w:r>
              <w:t xml:space="preserve">.</w:t>
            </w:r>
            <w:r>
              <w:t xml:space="preserve"> </w:t>
            </w:r>
            <w:r>
              <w:rPr>
                <w:i/>
                <w:iCs/>
              </w:rPr>
              <w:t xml:space="preserve">Horizontes</w:t>
            </w:r>
            <w:r>
              <w:t xml:space="preserve">.</w:t>
            </w:r>
          </w:p>
        </w:tc>
        <w:tc>
          <w:tcPr/>
          <w:p>
            <w:pPr>
              <w:pStyle w:val="Compact"/>
            </w:pPr>
            <w:r>
              <w:t xml:space="preserve">2024</w:t>
            </w:r>
          </w:p>
        </w:tc>
        <w:tc>
          <w:tcPr/>
          <w:p>
            <w:pPr>
              <w:pStyle w:val="Compact"/>
            </w:pPr>
            <w:r>
              <w:t xml:space="preserve">Lima, primaria</w:t>
            </w:r>
          </w:p>
        </w:tc>
        <w:tc>
          <w:tcPr/>
          <w:p>
            <w:pPr>
              <w:pStyle w:val="Compact"/>
            </w:pPr>
            <w:r>
              <w:t xml:space="preserve">Descriptivo; n = 100</w:t>
            </w:r>
          </w:p>
        </w:tc>
        <w:tc>
          <w:tcPr/>
          <w:p>
            <w:pPr>
              <w:pStyle w:val="Compact"/>
            </w:pPr>
            <w:r>
              <w:t xml:space="preserve">46 % literal; el 60 % rara vez lee</w:t>
            </w:r>
          </w:p>
        </w:tc>
        <w:tc>
          <w:tcPr/>
          <w:p>
            <w:pPr>
              <w:pStyle w:val="Compact"/>
            </w:pPr>
            <w:r>
              <w:t xml:space="preserve">Hábito lector (débil)</w:t>
            </w:r>
          </w:p>
        </w:tc>
        <w:tc>
          <w:tcPr/>
          <w:p>
            <w:pPr>
              <w:pStyle w:val="Compact"/>
            </w:pPr>
            <w:r>
              <w:t xml:space="preserve">https://doi.org/10.33996/revistahorizontes.v8i35.859</w:t>
            </w:r>
          </w:p>
        </w:tc>
      </w:tr>
      <w:tr>
        <w:tc>
          <w:tcPr/>
          <w:p>
            <w:pPr>
              <w:pStyle w:val="Compact"/>
            </w:pPr>
            <w:r>
              <w:t xml:space="preserve">3</w:t>
            </w:r>
          </w:p>
        </w:tc>
        <w:tc>
          <w:tcPr/>
          <w:p>
            <w:pPr>
              <w:pStyle w:val="Compact"/>
            </w:pPr>
            <w:r>
              <w:t xml:space="preserve">Huamán Delgado, N. et al. </w:t>
            </w:r>
            <w:r>
              <w:t xml:space="preserve">“Efectividad de LECSTYC en comprensión lectora de estudiantes de secundaria, Amazonas 2024”</w:t>
            </w:r>
            <w:r>
              <w:t xml:space="preserve">.</w:t>
            </w:r>
            <w:r>
              <w:t xml:space="preserve"> </w:t>
            </w:r>
            <w:r>
              <w:rPr>
                <w:i/>
                <w:iCs/>
              </w:rPr>
              <w:t xml:space="preserve">Revista Simón Rodríguez</w:t>
            </w:r>
            <w:r>
              <w:t xml:space="preserve">.</w:t>
            </w:r>
          </w:p>
        </w:tc>
        <w:tc>
          <w:tcPr/>
          <w:p>
            <w:pPr>
              <w:pStyle w:val="Compact"/>
            </w:pPr>
            <w:r>
              <w:t xml:space="preserve">2026</w:t>
            </w:r>
          </w:p>
        </w:tc>
        <w:tc>
          <w:tcPr/>
          <w:p>
            <w:pPr>
              <w:pStyle w:val="Compact"/>
            </w:pPr>
            <w:r>
              <w:t xml:space="preserve">Amazonas (rural)</w:t>
            </w:r>
          </w:p>
        </w:tc>
        <w:tc>
          <w:tcPr/>
          <w:p>
            <w:pPr>
              <w:pStyle w:val="Compact"/>
            </w:pPr>
            <w:r>
              <w:t xml:space="preserve">Preexperimental de un solo grupo; n = 25</w:t>
            </w:r>
          </w:p>
        </w:tc>
        <w:tc>
          <w:tcPr/>
          <w:p>
            <w:pPr>
              <w:pStyle w:val="Compact"/>
            </w:pPr>
            <w:r>
              <w:t xml:space="preserve">Mejora de 5,5 a 7,6; d = 2,76</w:t>
            </w:r>
          </w:p>
        </w:tc>
        <w:tc>
          <w:tcPr/>
          <w:p>
            <w:pPr>
              <w:pStyle w:val="Compact"/>
            </w:pPr>
            <w:r>
              <w:t xml:space="preserve">Herramienta digital peruana; el efecto está inflado por el diseño (débil)</w:t>
            </w:r>
          </w:p>
        </w:tc>
        <w:tc>
          <w:tcPr/>
          <w:p>
            <w:pPr>
              <w:pStyle w:val="Compact"/>
            </w:pPr>
            <w:r>
              <w:t xml:space="preserve">https://doi.org/10.62319/simonrodriguez.v.6i11.152</w:t>
            </w:r>
          </w:p>
        </w:tc>
      </w:tr>
      <w:tr>
        <w:tc>
          <w:tcPr/>
          <w:p>
            <w:pPr>
              <w:pStyle w:val="Compact"/>
            </w:pPr>
            <w:r>
              <w:t xml:space="preserve">4</w:t>
            </w:r>
          </w:p>
        </w:tc>
        <w:tc>
          <w:tcPr/>
          <w:p>
            <w:pPr>
              <w:pStyle w:val="Compact"/>
            </w:pPr>
            <w:r>
              <w:t xml:space="preserve">Hurtado Núñez, R. et al. </w:t>
            </w:r>
            <w:r>
              <w:t xml:space="preserve">“Prácticas docentes para el fomento de la competencia lectora…”</w:t>
            </w:r>
            <w:r>
              <w:t xml:space="preserve">.</w:t>
            </w:r>
            <w:r>
              <w:t xml:space="preserve"> </w:t>
            </w:r>
            <w:r>
              <w:rPr>
                <w:i/>
                <w:iCs/>
              </w:rPr>
              <w:t xml:space="preserve">Arandu-UTIC</w:t>
            </w:r>
            <w:r>
              <w:t xml:space="preserve">.</w:t>
            </w:r>
          </w:p>
        </w:tc>
        <w:tc>
          <w:tcPr/>
          <w:p>
            <w:pPr>
              <w:pStyle w:val="Compact"/>
            </w:pPr>
            <w:r>
              <w:t xml:space="preserve">2026</w:t>
            </w:r>
          </w:p>
        </w:tc>
        <w:tc>
          <w:tcPr/>
          <w:p>
            <w:pPr>
              <w:pStyle w:val="Compact"/>
            </w:pPr>
            <w:r>
              <w:t xml:space="preserve">Apurímac (Talavera), urbano</w:t>
            </w:r>
          </w:p>
        </w:tc>
        <w:tc>
          <w:tcPr/>
          <w:p>
            <w:pPr>
              <w:pStyle w:val="Compact"/>
            </w:pPr>
            <w:r>
              <w:t xml:space="preserve">75 docentes; autorreporte</w:t>
            </w:r>
          </w:p>
        </w:tc>
        <w:tc>
          <w:tcPr/>
          <w:p>
            <w:pPr>
              <w:pStyle w:val="Compact"/>
            </w:pPr>
            <w:r>
              <w:t xml:space="preserve">El 71,4 % declara prácticas favorables</w:t>
            </w:r>
          </w:p>
        </w:tc>
        <w:tc>
          <w:tcPr/>
          <w:p>
            <w:pPr>
              <w:pStyle w:val="Compact"/>
            </w:pPr>
            <w:r>
              <w:t xml:space="preserve">Contrasta con la observación de la UMC (débil)</w:t>
            </w:r>
          </w:p>
        </w:tc>
        <w:tc>
          <w:tcPr/>
          <w:p>
            <w:pPr>
              <w:pStyle w:val="Compact"/>
            </w:pPr>
            <w:r>
              <w:t xml:space="preserve">https://doi.org/10.69639/arandu.v13i1.1942</w:t>
            </w:r>
          </w:p>
        </w:tc>
      </w:tr>
      <w:tr>
        <w:tc>
          <w:tcPr/>
          <w:p>
            <w:pPr>
              <w:pStyle w:val="Compact"/>
            </w:pPr>
            <w:r>
              <w:t xml:space="preserve">5</w:t>
            </w:r>
          </w:p>
        </w:tc>
        <w:tc>
          <w:tcPr/>
          <w:p>
            <w:pPr>
              <w:pStyle w:val="Compact"/>
            </w:pPr>
            <w:r>
              <w:t xml:space="preserve">Ramos Vílchez, E. et al. </w:t>
            </w:r>
            <w:r>
              <w:t xml:space="preserve">“Estrategias de comprensión lectora en docentes de educación básica en Piura”</w:t>
            </w:r>
            <w:r>
              <w:t xml:space="preserve">.</w:t>
            </w:r>
            <w:r>
              <w:t xml:space="preserve"> </w:t>
            </w:r>
            <w:r>
              <w:rPr>
                <w:i/>
                <w:iCs/>
              </w:rPr>
              <w:t xml:space="preserve">Revista Scientific</w:t>
            </w:r>
            <w:r>
              <w:t xml:space="preserve">.</w:t>
            </w:r>
          </w:p>
        </w:tc>
        <w:tc>
          <w:tcPr/>
          <w:p>
            <w:pPr>
              <w:pStyle w:val="Compact"/>
            </w:pPr>
            <w:r>
              <w:t xml:space="preserve">2024</w:t>
            </w:r>
          </w:p>
        </w:tc>
        <w:tc>
          <w:tcPr/>
          <w:p>
            <w:pPr>
              <w:pStyle w:val="Compact"/>
            </w:pPr>
            <w:r>
              <w:t xml:space="preserve">Perú</w:t>
            </w:r>
          </w:p>
        </w:tc>
        <w:tc>
          <w:tcPr/>
          <w:p>
            <w:pPr>
              <w:pStyle w:val="Compact"/>
            </w:pPr>
            <w:r>
              <w:t xml:space="preserve">Revisión de 13 estudios</w:t>
            </w:r>
          </w:p>
        </w:tc>
        <w:tc>
          <w:tcPr/>
          <w:p>
            <w:pPr>
              <w:pStyle w:val="Compact"/>
            </w:pPr>
            <w:r>
              <w:t xml:space="preserve">Ocho estrategias (Solé, aprendizaje basado en problemas, formulación de preguntas, etc.) mejoran los tres niveles</w:t>
            </w:r>
          </w:p>
        </w:tc>
        <w:tc>
          <w:tcPr/>
          <w:p>
            <w:pPr>
              <w:pStyle w:val="Compact"/>
            </w:pPr>
            <w:r>
              <w:t xml:space="preserve">Catálogo pedagógico</w:t>
            </w:r>
          </w:p>
        </w:tc>
        <w:tc>
          <w:tcPr/>
          <w:p>
            <w:pPr>
              <w:pStyle w:val="Compact"/>
            </w:pPr>
            <w:r>
              <w:t xml:space="preserve">https://doi.org/10.29394/scientific.issn.2542-2987.2024.9.34.6.131-152</w:t>
            </w:r>
          </w:p>
        </w:tc>
      </w:tr>
      <w:tr>
        <w:tc>
          <w:tcPr/>
          <w:p>
            <w:pPr>
              <w:pStyle w:val="Compact"/>
            </w:pPr>
            <w:r>
              <w:t xml:space="preserve">6</w:t>
            </w:r>
          </w:p>
        </w:tc>
        <w:tc>
          <w:tcPr/>
          <w:p>
            <w:pPr>
              <w:pStyle w:val="Compact"/>
            </w:pPr>
            <w:r>
              <w:t xml:space="preserve">Gómez Rojas, D. C. y Mateus, J.-C.</w:t>
            </w:r>
            <w:r>
              <w:t xml:space="preserve"> </w:t>
            </w:r>
            <w:r>
              <w:t xml:space="preserve">“Competencia mediática para identificar noticias falsas…”</w:t>
            </w:r>
            <w:r>
              <w:t xml:space="preserve">.</w:t>
            </w:r>
            <w:r>
              <w:t xml:space="preserve"> </w:t>
            </w:r>
            <w:r>
              <w:rPr>
                <w:i/>
                <w:iCs/>
              </w:rPr>
              <w:t xml:space="preserve">Correspondencias &amp; Análisis</w:t>
            </w:r>
            <w:r>
              <w:t xml:space="preserve">.</w:t>
            </w:r>
          </w:p>
        </w:tc>
        <w:tc>
          <w:tcPr/>
          <w:p>
            <w:pPr>
              <w:pStyle w:val="Compact"/>
            </w:pPr>
            <w:r>
              <w:t xml:space="preserve">2023</w:t>
            </w:r>
          </w:p>
        </w:tc>
        <w:tc>
          <w:tcPr/>
          <w:p>
            <w:pPr>
              <w:pStyle w:val="Compact"/>
            </w:pPr>
            <w:r>
              <w:t xml:space="preserve">Lima, 4.° de secundaria</w:t>
            </w:r>
          </w:p>
        </w:tc>
        <w:tc>
          <w:tcPr/>
          <w:p>
            <w:pPr>
              <w:pStyle w:val="Compact"/>
            </w:pPr>
            <w:r>
              <w:t xml:space="preserve">Estudio de caso con la prueba CRAAP</w:t>
            </w:r>
          </w:p>
        </w:tc>
        <w:tc>
          <w:tcPr/>
          <w:p>
            <w:pPr>
              <w:pStyle w:val="Compact"/>
            </w:pPr>
            <w:r>
              <w:t xml:space="preserve">Evalúan casi igual las noticias falsas y las verdaderas</w:t>
            </w:r>
          </w:p>
        </w:tc>
        <w:tc>
          <w:tcPr/>
          <w:p>
            <w:pPr>
              <w:pStyle w:val="Compact"/>
            </w:pPr>
            <w:r>
              <w:t xml:space="preserve">Pensamiento crítico ante fuentes digitales</w:t>
            </w:r>
          </w:p>
        </w:tc>
        <w:tc>
          <w:tcPr/>
          <w:p>
            <w:pPr>
              <w:pStyle w:val="Compact"/>
            </w:pPr>
            <w:r>
              <w:t xml:space="preserve">https://doi.org/10.24265/cian.2023.n17.01</w:t>
            </w:r>
          </w:p>
        </w:tc>
      </w:tr>
      <w:tr>
        <w:tc>
          <w:tcPr/>
          <w:p>
            <w:pPr>
              <w:pStyle w:val="Compact"/>
            </w:pPr>
            <w:r>
              <w:t xml:space="preserve">7</w:t>
            </w:r>
          </w:p>
        </w:tc>
        <w:tc>
          <w:tcPr/>
          <w:p>
            <w:pPr>
              <w:pStyle w:val="Compact"/>
            </w:pPr>
            <w:r>
              <w:t xml:space="preserve">Mendoza Gonzales, M. E. et al. </w:t>
            </w:r>
            <w:r>
              <w:rPr>
                <w:i/>
                <w:iCs/>
              </w:rPr>
              <w:t xml:space="preserve">IGOBERNANZA</w:t>
            </w:r>
            <w:r>
              <w:t xml:space="preserve">, 8(30).</w:t>
            </w:r>
          </w:p>
        </w:tc>
        <w:tc>
          <w:tcPr/>
          <w:p>
            <w:pPr>
              <w:pStyle w:val="Compact"/>
            </w:pPr>
            <w:r>
              <w:t xml:space="preserve">2025</w:t>
            </w:r>
          </w:p>
        </w:tc>
        <w:tc>
          <w:tcPr/>
          <w:p>
            <w:pPr>
              <w:pStyle w:val="Compact"/>
            </w:pPr>
            <w:r>
              <w:t xml:space="preserve">Chincha, 2.° de primaria</w:t>
            </w:r>
          </w:p>
        </w:tc>
        <w:tc>
          <w:tcPr/>
          <w:p>
            <w:pPr>
              <w:pStyle w:val="Compact"/>
            </w:pPr>
            <w:r>
              <w:t xml:space="preserve">Correlacional; n = 91</w:t>
            </w:r>
          </w:p>
        </w:tc>
        <w:tc>
          <w:tcPr/>
          <w:p>
            <w:pPr>
              <w:pStyle w:val="Compact"/>
            </w:pPr>
            <w:r>
              <w:t xml:space="preserve">rho = 0,62 entre comprensión lectora y pensamiento crítico</w:t>
            </w:r>
          </w:p>
        </w:tc>
        <w:tc>
          <w:tcPr/>
          <w:p>
            <w:pPr>
              <w:pStyle w:val="Compact"/>
            </w:pPr>
            <w:r>
              <w:t xml:space="preserve">Apoya la hipótesis (débil)</w:t>
            </w:r>
          </w:p>
        </w:tc>
        <w:tc>
          <w:tcPr/>
          <w:p>
            <w:pPr>
              <w:pStyle w:val="Compact"/>
            </w:pPr>
            <w:r>
              <w:t xml:space="preserve">https://doi.org/10.47865/igob.vol8.n30.2025.409</w:t>
            </w:r>
          </w:p>
        </w:tc>
      </w:tr>
      <w:tr>
        <w:tc>
          <w:tcPr/>
          <w:p>
            <w:pPr>
              <w:pStyle w:val="Compact"/>
            </w:pPr>
            <w:r>
              <w:t xml:space="preserve">8</w:t>
            </w:r>
          </w:p>
        </w:tc>
        <w:tc>
          <w:tcPr/>
          <w:p>
            <w:pPr>
              <w:pStyle w:val="Compact"/>
            </w:pPr>
            <w:r>
              <w:t xml:space="preserve">Rojas Pinto, A. I. y Fernández-Monge, L. M.</w:t>
            </w:r>
            <w:r>
              <w:t xml:space="preserve"> </w:t>
            </w:r>
            <w:r>
              <w:rPr>
                <w:i/>
                <w:iCs/>
              </w:rPr>
              <w:t xml:space="preserve">Revista Tribunal</w:t>
            </w:r>
            <w:r>
              <w:t xml:space="preserve">, 5(11).</w:t>
            </w:r>
          </w:p>
        </w:tc>
        <w:tc>
          <w:tcPr/>
          <w:p>
            <w:pPr>
              <w:pStyle w:val="Compact"/>
            </w:pPr>
            <w:r>
              <w:t xml:space="preserve">2025</w:t>
            </w:r>
          </w:p>
        </w:tc>
        <w:tc>
          <w:tcPr/>
          <w:p>
            <w:pPr>
              <w:pStyle w:val="Compact"/>
            </w:pPr>
            <w:r>
              <w:t xml:space="preserve">Latinoamérica</w:t>
            </w:r>
          </w:p>
        </w:tc>
        <w:tc>
          <w:tcPr/>
          <w:p>
            <w:pPr>
              <w:pStyle w:val="Compact"/>
            </w:pPr>
            <w:r>
              <w:t xml:space="preserve">Revisión PRISMA de 15 estudios</w:t>
            </w:r>
          </w:p>
        </w:tc>
        <w:tc>
          <w:tcPr/>
          <w:p>
            <w:pPr>
              <w:pStyle w:val="Compact"/>
            </w:pPr>
            <w:r>
              <w:t xml:space="preserve">El pensamiento crítico se asocia con mejor comprensión</w:t>
            </w:r>
          </w:p>
        </w:tc>
        <w:tc>
          <w:tcPr/>
          <w:p>
            <w:pPr>
              <w:pStyle w:val="Compact"/>
            </w:pPr>
            <w:r>
              <w:t xml:space="preserve">Convergencia</w:t>
            </w:r>
          </w:p>
        </w:tc>
        <w:tc>
          <w:tcPr/>
          <w:p>
            <w:pPr>
              <w:pStyle w:val="Compact"/>
            </w:pPr>
            <w:r>
              <w:t xml:space="preserve">https://doi.org/10.59659/revistatribunal.v5i11.155</w:t>
            </w:r>
          </w:p>
        </w:tc>
      </w:tr>
      <w:tr>
        <w:tc>
          <w:tcPr/>
          <w:p>
            <w:pPr>
              <w:pStyle w:val="Compact"/>
            </w:pPr>
            <w:r>
              <w:t xml:space="preserve">9</w:t>
            </w:r>
          </w:p>
        </w:tc>
        <w:tc>
          <w:tcPr/>
          <w:p>
            <w:pPr>
              <w:pStyle w:val="Compact"/>
            </w:pPr>
            <w:r>
              <w:t xml:space="preserve">Duche-Pérez, A. B. et al. </w:t>
            </w:r>
            <w:r>
              <w:t xml:space="preserve">“Comprensión lectora inferencial en estudiantes universitarios”</w:t>
            </w:r>
            <w:r>
              <w:t xml:space="preserve">.</w:t>
            </w:r>
            <w:r>
              <w:t xml:space="preserve"> </w:t>
            </w:r>
            <w:r>
              <w:rPr>
                <w:i/>
                <w:iCs/>
              </w:rPr>
              <w:t xml:space="preserve">Revista de Ciencias Sociales</w:t>
            </w:r>
            <w:r>
              <w:t xml:space="preserve">.</w:t>
            </w:r>
          </w:p>
        </w:tc>
        <w:tc>
          <w:tcPr/>
          <w:p>
            <w:pPr>
              <w:pStyle w:val="Compact"/>
            </w:pPr>
            <w:r>
              <w:t xml:space="preserve">2022</w:t>
            </w:r>
          </w:p>
        </w:tc>
        <w:tc>
          <w:tcPr/>
          <w:p>
            <w:pPr>
              <w:pStyle w:val="Compact"/>
            </w:pPr>
            <w:r>
              <w:t xml:space="preserve">Arequipa, ingresantes 2021</w:t>
            </w:r>
          </w:p>
        </w:tc>
        <w:tc>
          <w:tcPr/>
          <w:p>
            <w:pPr>
              <w:pStyle w:val="Compact"/>
            </w:pPr>
            <w:r>
              <w:t xml:space="preserve">Test CLOZE de 60 ítems inferenciales; n = 90</w:t>
            </w:r>
          </w:p>
        </w:tc>
        <w:tc>
          <w:tcPr/>
          <w:p>
            <w:pPr>
              <w:pStyle w:val="Compact"/>
            </w:pPr>
            <w:r>
              <w:t xml:space="preserve">Bajo nivel inferencial; más dificultad en textos científicos y humanísticos; ventaja de los egresados de colegios privados</w:t>
            </w:r>
          </w:p>
        </w:tc>
        <w:tc>
          <w:tcPr/>
          <w:p>
            <w:pPr>
              <w:pStyle w:val="Compact"/>
            </w:pPr>
            <w:r>
              <w:t xml:space="preserve">Ingreso a la universidad</w:t>
            </w:r>
          </w:p>
        </w:tc>
        <w:tc>
          <w:tcPr/>
          <w:p>
            <w:pPr>
              <w:pStyle w:val="Compact"/>
            </w:pPr>
            <w:r>
              <w:t xml:space="preserve">https://doi.org/10.31876/rcs.v28i.38831</w:t>
            </w:r>
          </w:p>
        </w:tc>
      </w:tr>
      <w:tr>
        <w:tc>
          <w:tcPr/>
          <w:p>
            <w:pPr>
              <w:pStyle w:val="Compact"/>
            </w:pPr>
            <w:r>
              <w:t xml:space="preserve">10</w:t>
            </w:r>
          </w:p>
        </w:tc>
        <w:tc>
          <w:tcPr/>
          <w:p>
            <w:pPr>
              <w:pStyle w:val="Compact"/>
            </w:pPr>
            <w:r>
              <w:t xml:space="preserve">Aguilar Huayta, A. y Arias Centeno, L. Z.</w:t>
            </w:r>
            <w:r>
              <w:t xml:space="preserve"> </w:t>
            </w:r>
            <w:r>
              <w:rPr>
                <w:i/>
                <w:iCs/>
              </w:rPr>
              <w:t xml:space="preserve">Revista Tribunal</w:t>
            </w:r>
            <w:r>
              <w:t xml:space="preserve">, 5(11).</w:t>
            </w:r>
          </w:p>
        </w:tc>
        <w:tc>
          <w:tcPr/>
          <w:p>
            <w:pPr>
              <w:pStyle w:val="Compact"/>
            </w:pPr>
            <w:r>
              <w:t xml:space="preserve">2025</w:t>
            </w:r>
          </w:p>
        </w:tc>
        <w:tc>
          <w:tcPr/>
          <w:p>
            <w:pPr>
              <w:pStyle w:val="Compact"/>
            </w:pPr>
            <w:r>
              <w:t xml:space="preserve">Lima, I ciclo</w:t>
            </w:r>
          </w:p>
        </w:tc>
        <w:tc>
          <w:tcPr/>
          <w:p>
            <w:pPr>
              <w:pStyle w:val="Compact"/>
            </w:pPr>
            <w:r>
              <w:t xml:space="preserve">Descriptivo</w:t>
            </w:r>
          </w:p>
        </w:tc>
        <w:tc>
          <w:tcPr/>
          <w:p>
            <w:pPr>
              <w:pStyle w:val="Compact"/>
            </w:pPr>
            <w:r>
              <w:t xml:space="preserve">Predomina el nivel literal</w:t>
            </w:r>
          </w:p>
        </w:tc>
        <w:tc>
          <w:tcPr/>
          <w:p>
            <w:pPr>
              <w:pStyle w:val="Compact"/>
            </w:pPr>
            <w:r>
              <w:t xml:space="preserve">Ingreso a la universidad</w:t>
            </w:r>
          </w:p>
        </w:tc>
        <w:tc>
          <w:tcPr/>
          <w:p>
            <w:pPr>
              <w:pStyle w:val="Compact"/>
            </w:pPr>
            <w:r>
              <w:t xml:space="preserve">https://doi.org/10.59659/revistatribunal.v5i11.169</w:t>
            </w:r>
          </w:p>
        </w:tc>
      </w:tr>
      <w:tr>
        <w:tc>
          <w:tcPr/>
          <w:p>
            <w:pPr>
              <w:pStyle w:val="Compact"/>
            </w:pPr>
            <w:r>
              <w:t xml:space="preserve">11</w:t>
            </w:r>
          </w:p>
        </w:tc>
        <w:tc>
          <w:tcPr/>
          <w:p>
            <w:pPr>
              <w:pStyle w:val="Compact"/>
            </w:pPr>
            <w:r>
              <w:t xml:space="preserve">Berrío-Quispe, M. L. et al. </w:t>
            </w:r>
            <w:r>
              <w:t xml:space="preserve">“Pensamiento crítico y comprensión lectora en un texto de Edgar Morin”</w:t>
            </w:r>
            <w:r>
              <w:t xml:space="preserve">.</w:t>
            </w:r>
            <w:r>
              <w:t xml:space="preserve"> </w:t>
            </w:r>
            <w:r>
              <w:rPr>
                <w:i/>
                <w:iCs/>
              </w:rPr>
              <w:t xml:space="preserve">Academo</w:t>
            </w:r>
            <w:r>
              <w:t xml:space="preserve">.</w:t>
            </w:r>
          </w:p>
        </w:tc>
        <w:tc>
          <w:tcPr/>
          <w:p>
            <w:pPr>
              <w:pStyle w:val="Compact"/>
            </w:pPr>
            <w:r>
              <w:t xml:space="preserve">2024</w:t>
            </w:r>
          </w:p>
        </w:tc>
        <w:tc>
          <w:tcPr/>
          <w:p>
            <w:pPr>
              <w:pStyle w:val="Compact"/>
            </w:pPr>
            <w:r>
              <w:t xml:space="preserve">Lima, universidad privada</w:t>
            </w:r>
          </w:p>
        </w:tc>
        <w:tc>
          <w:tcPr/>
          <w:p>
            <w:pPr>
              <w:pStyle w:val="Compact"/>
            </w:pPr>
            <w:r>
              <w:t xml:space="preserve">Correlacional; n = 125</w:t>
            </w:r>
          </w:p>
        </w:tc>
        <w:tc>
          <w:tcPr/>
          <w:p>
            <w:pPr>
              <w:pStyle w:val="Compact"/>
            </w:pPr>
            <w:r>
              <w:t xml:space="preserve">La comprensión lectora se relaciona con el pensamiento crítico, más con la dimensión sustantiva que con la dialógica</w:t>
            </w:r>
          </w:p>
        </w:tc>
        <w:tc>
          <w:tcPr/>
          <w:p>
            <w:pPr>
              <w:pStyle w:val="Compact"/>
            </w:pPr>
            <w:r>
              <w:t xml:space="preserve">Apoya la hipótesis (débil)</w:t>
            </w:r>
          </w:p>
        </w:tc>
        <w:tc>
          <w:tcPr/>
          <w:p>
            <w:pPr>
              <w:pStyle w:val="Compact"/>
            </w:pPr>
            <w:r>
              <w:t xml:space="preserve">https://doi.org/10.30545/academo.2024.ene-abr.4</w:t>
            </w:r>
          </w:p>
        </w:tc>
      </w:tr>
      <w:tr>
        <w:tc>
          <w:tcPr/>
          <w:p>
            <w:pPr>
              <w:pStyle w:val="Compact"/>
            </w:pPr>
            <w:r>
              <w:t xml:space="preserve">12</w:t>
            </w:r>
          </w:p>
        </w:tc>
        <w:tc>
          <w:tcPr/>
          <w:p>
            <w:pPr>
              <w:pStyle w:val="Compact"/>
            </w:pPr>
            <w:r>
              <w:t xml:space="preserve">Hurtado Ambrocio, O. y Punto-Noriega, E. A.</w:t>
            </w:r>
            <w:r>
              <w:t xml:space="preserve"> </w:t>
            </w:r>
            <w:r>
              <w:t xml:space="preserve">“Pensamiento crítico en universitarios de Ayacucho-Perú, 2024”</w:t>
            </w:r>
            <w:r>
              <w:t xml:space="preserve">.</w:t>
            </w:r>
            <w:r>
              <w:t xml:space="preserve"> </w:t>
            </w:r>
            <w:r>
              <w:rPr>
                <w:i/>
                <w:iCs/>
              </w:rPr>
              <w:t xml:space="preserve">Prohominum</w:t>
            </w:r>
            <w:r>
              <w:t xml:space="preserve">.</w:t>
            </w:r>
          </w:p>
        </w:tc>
        <w:tc>
          <w:tcPr/>
          <w:p>
            <w:pPr>
              <w:pStyle w:val="Compact"/>
            </w:pPr>
            <w:r>
              <w:t xml:space="preserve">2025</w:t>
            </w:r>
          </w:p>
        </w:tc>
        <w:tc>
          <w:tcPr/>
          <w:p>
            <w:pPr>
              <w:pStyle w:val="Compact"/>
            </w:pPr>
            <w:r>
              <w:rPr>
                <w:b/>
                <w:bCs/>
              </w:rPr>
              <w:t xml:space="preserve">Ayacucho</w:t>
            </w:r>
            <w:r>
              <w:t xml:space="preserve">, universidad pública</w:t>
            </w:r>
          </w:p>
        </w:tc>
        <w:tc>
          <w:tcPr/>
          <w:p>
            <w:pPr>
              <w:pStyle w:val="Compact"/>
            </w:pPr>
            <w:r>
              <w:t xml:space="preserve">Descriptivo; n = 71</w:t>
            </w:r>
          </w:p>
        </w:tc>
        <w:tc>
          <w:tcPr/>
          <w:p>
            <w:pPr>
              <w:pStyle w:val="Compact"/>
            </w:pPr>
            <w:r>
              <w:t xml:space="preserve">Pensamiento crítico medio-alto; debilidad transversal en la dimensión sustantiva</w:t>
            </w:r>
          </w:p>
        </w:tc>
        <w:tc>
          <w:tcPr/>
          <w:p>
            <w:pPr>
              <w:pStyle w:val="Compact"/>
            </w:pPr>
            <w:r>
              <w:t xml:space="preserve">Ayacucho; autorreporte (débil)</w:t>
            </w:r>
          </w:p>
        </w:tc>
        <w:tc>
          <w:tcPr/>
          <w:p>
            <w:pPr>
              <w:pStyle w:val="Compact"/>
            </w:pPr>
            <w:r>
              <w:t xml:space="preserve">https://doi.org/10.47606/acven/ph0413</w:t>
            </w:r>
          </w:p>
        </w:tc>
      </w:tr>
      <w:tr>
        <w:tc>
          <w:tcPr/>
          <w:p>
            <w:pPr>
              <w:pStyle w:val="Compact"/>
            </w:pPr>
            <w:r>
              <w:t xml:space="preserve">13</w:t>
            </w:r>
          </w:p>
        </w:tc>
        <w:tc>
          <w:tcPr/>
          <w:p>
            <w:pPr>
              <w:pStyle w:val="Compact"/>
            </w:pPr>
            <w:r>
              <w:t xml:space="preserve">Medina Manrique, C. A.</w:t>
            </w:r>
            <w:r>
              <w:t xml:space="preserve"> </w:t>
            </w:r>
            <w:r>
              <w:t xml:space="preserve">“Estrategias metacognitivas en el pensamiento crítico de estudiantes universitarios de Arquitectura”</w:t>
            </w:r>
            <w:r>
              <w:t xml:space="preserve">.</w:t>
            </w:r>
            <w:r>
              <w:t xml:space="preserve"> </w:t>
            </w:r>
            <w:r>
              <w:rPr>
                <w:i/>
                <w:iCs/>
              </w:rPr>
              <w:t xml:space="preserve">Horizontes</w:t>
            </w:r>
            <w:r>
              <w:t xml:space="preserve">.</w:t>
            </w:r>
          </w:p>
        </w:tc>
        <w:tc>
          <w:tcPr/>
          <w:p>
            <w:pPr>
              <w:pStyle w:val="Compact"/>
            </w:pPr>
            <w:r>
              <w:t xml:space="preserve">2022</w:t>
            </w:r>
          </w:p>
        </w:tc>
        <w:tc>
          <w:tcPr/>
          <w:p>
            <w:pPr>
              <w:pStyle w:val="Compact"/>
            </w:pPr>
            <w:r>
              <w:t xml:space="preserve">Lima (UNI)</w:t>
            </w:r>
          </w:p>
        </w:tc>
        <w:tc>
          <w:tcPr/>
          <w:p>
            <w:pPr>
              <w:pStyle w:val="Compact"/>
            </w:pPr>
            <w:r>
              <w:t xml:space="preserve">Correlacional; n = 75</w:t>
            </w:r>
          </w:p>
        </w:tc>
        <w:tc>
          <w:tcPr/>
          <w:p>
            <w:pPr>
              <w:pStyle w:val="Compact"/>
            </w:pPr>
            <w:r>
              <w:t xml:space="preserve">Las estrategias metacognitivas influyen en el pensamiento crítico</w:t>
            </w:r>
          </w:p>
        </w:tc>
        <w:tc>
          <w:tcPr/>
          <w:p>
            <w:pPr>
              <w:pStyle w:val="Compact"/>
            </w:pPr>
            <w:r>
              <w:t xml:space="preserve">La metacognición como mediador (débil)</w:t>
            </w:r>
          </w:p>
        </w:tc>
        <w:tc>
          <w:tcPr/>
          <w:p>
            <w:pPr>
              <w:pStyle w:val="Compact"/>
            </w:pPr>
            <w:r>
              <w:t xml:space="preserve">https://doi.org/10.33996/revistahorizontes.v6i23.369</w:t>
            </w:r>
          </w:p>
        </w:tc>
      </w:tr>
      <w:tr>
        <w:tc>
          <w:tcPr/>
          <w:p>
            <w:pPr>
              <w:pStyle w:val="Compact"/>
            </w:pPr>
            <w:r>
              <w:t xml:space="preserve">14</w:t>
            </w:r>
          </w:p>
        </w:tc>
        <w:tc>
          <w:tcPr/>
          <w:p>
            <w:pPr>
              <w:pStyle w:val="Compact"/>
            </w:pPr>
            <w:r>
              <w:t xml:space="preserve">Paliza Arellano, Y. M. y Orbegoso Paliza, P. A.</w:t>
            </w:r>
            <w:r>
              <w:t xml:space="preserve"> </w:t>
            </w:r>
            <w:r>
              <w:t xml:space="preserve">“Comprensión lectora y pensamiento crítico en estudiantes universitarios en el Perú”</w:t>
            </w:r>
            <w:r>
              <w:t xml:space="preserve">.</w:t>
            </w:r>
            <w:r>
              <w:t xml:space="preserve"> </w:t>
            </w:r>
            <w:r>
              <w:rPr>
                <w:i/>
                <w:iCs/>
              </w:rPr>
              <w:t xml:space="preserve">Revista Ciencias y Artes</w:t>
            </w:r>
            <w:r>
              <w:t xml:space="preserve">.</w:t>
            </w:r>
          </w:p>
        </w:tc>
        <w:tc>
          <w:tcPr/>
          <w:p>
            <w:pPr>
              <w:pStyle w:val="Compact"/>
            </w:pPr>
            <w:r>
              <w:t xml:space="preserve">2025</w:t>
            </w:r>
          </w:p>
        </w:tc>
        <w:tc>
          <w:tcPr/>
          <w:p>
            <w:pPr>
              <w:pStyle w:val="Compact"/>
            </w:pPr>
            <w:r>
              <w:t xml:space="preserve">Perú</w:t>
            </w:r>
          </w:p>
        </w:tc>
        <w:tc>
          <w:tcPr/>
          <w:p>
            <w:pPr>
              <w:pStyle w:val="Compact"/>
            </w:pPr>
            <w:r>
              <w:t xml:space="preserve">Ensayo</w:t>
            </w:r>
          </w:p>
        </w:tc>
        <w:tc>
          <w:tcPr/>
          <w:p>
            <w:pPr>
              <w:pStyle w:val="Compact"/>
            </w:pPr>
            <w:r>
              <w:t xml:space="preserve">Persisten enfoques reproductivos; propone lectura colaborativa, diarios y evaluación formativa</w:t>
            </w:r>
          </w:p>
        </w:tc>
        <w:tc>
          <w:tcPr/>
          <w:p>
            <w:pPr>
              <w:pStyle w:val="Compact"/>
            </w:pPr>
            <w:r>
              <w:t xml:space="preserve">Marco conceptual</w:t>
            </w:r>
          </w:p>
        </w:tc>
        <w:tc>
          <w:tcPr/>
          <w:p>
            <w:pPr>
              <w:pStyle w:val="Compact"/>
            </w:pPr>
            <w:r>
              <w:t xml:space="preserve">https://doi.org/10.37211/2789.1216.v3.n1.115</w:t>
            </w:r>
          </w:p>
        </w:tc>
      </w:tr>
      <w:tr>
        <w:tc>
          <w:tcPr/>
          <w:p>
            <w:pPr>
              <w:pStyle w:val="Compact"/>
            </w:pPr>
            <w:r>
              <w:t xml:space="preserve">15</w:t>
            </w:r>
          </w:p>
        </w:tc>
        <w:tc>
          <w:tcPr/>
          <w:p>
            <w:pPr>
              <w:pStyle w:val="Compact"/>
            </w:pPr>
            <w:r>
              <w:t xml:space="preserve">Flores, E. et al. </w:t>
            </w:r>
            <w:r>
              <w:t xml:space="preserve">“Inteligencia artificial generativa en ingresantes a una universidad pública”</w:t>
            </w:r>
            <w:r>
              <w:t xml:space="preserve">.</w:t>
            </w:r>
            <w:r>
              <w:t xml:space="preserve"> </w:t>
            </w:r>
            <w:r>
              <w:rPr>
                <w:i/>
                <w:iCs/>
              </w:rPr>
              <w:t xml:space="preserve">Horizontes</w:t>
            </w:r>
            <w:r>
              <w:t xml:space="preserve">.</w:t>
            </w:r>
          </w:p>
        </w:tc>
        <w:tc>
          <w:tcPr/>
          <w:p>
            <w:pPr>
              <w:pStyle w:val="Compact"/>
            </w:pPr>
            <w:r>
              <w:t xml:space="preserve">2025</w:t>
            </w:r>
          </w:p>
        </w:tc>
        <w:tc>
          <w:tcPr/>
          <w:p>
            <w:pPr>
              <w:pStyle w:val="Compact"/>
            </w:pPr>
            <w:r>
              <w:t xml:space="preserve">Lima, ingeniería</w:t>
            </w:r>
          </w:p>
        </w:tc>
        <w:tc>
          <w:tcPr/>
          <w:p>
            <w:pPr>
              <w:pStyle w:val="Compact"/>
            </w:pPr>
            <w:r>
              <w:t xml:space="preserve">Cuasiexperimento pre-post; n = 236</w:t>
            </w:r>
          </w:p>
        </w:tc>
        <w:tc>
          <w:tcPr/>
          <w:p>
            <w:pPr>
              <w:pStyle w:val="Compact"/>
            </w:pPr>
            <w:r>
              <w:t xml:space="preserve">Tras un taller aumentó el uso académico de ChatGPT</w:t>
            </w:r>
          </w:p>
        </w:tc>
        <w:tc>
          <w:tcPr/>
          <w:p>
            <w:pPr>
              <w:pStyle w:val="Compact"/>
            </w:pPr>
            <w:r>
              <w:t xml:space="preserve">Mide uso, no comprensión</w:t>
            </w:r>
          </w:p>
        </w:tc>
        <w:tc>
          <w:tcPr/>
          <w:p>
            <w:pPr>
              <w:pStyle w:val="Compact"/>
            </w:pPr>
            <w:r>
              <w:t xml:space="preserve">https://doi.org/10.33996/revistahorizontes.v9i38.1017</w:t>
            </w:r>
          </w:p>
        </w:tc>
      </w:tr>
      <w:tr>
        <w:tc>
          <w:tcPr/>
          <w:p>
            <w:pPr>
              <w:pStyle w:val="Compact"/>
            </w:pPr>
            <w:r>
              <w:t xml:space="preserve">16</w:t>
            </w:r>
          </w:p>
        </w:tc>
        <w:tc>
          <w:tcPr/>
          <w:p>
            <w:pPr>
              <w:pStyle w:val="Compact"/>
            </w:pPr>
            <w:r>
              <w:t xml:space="preserve">Deroncele-Acosta, Á. et al. </w:t>
            </w:r>
            <w:r>
              <w:t xml:space="preserve">“ChatGPT at University: …Quality of Student Interaction”</w:t>
            </w:r>
            <w:r>
              <w:t xml:space="preserve">.</w:t>
            </w:r>
            <w:r>
              <w:t xml:space="preserve"> </w:t>
            </w:r>
            <w:r>
              <w:rPr>
                <w:i/>
                <w:iCs/>
              </w:rPr>
              <w:t xml:space="preserve">Education Sciences</w:t>
            </w:r>
            <w:r>
              <w:t xml:space="preserve">.</w:t>
            </w:r>
          </w:p>
        </w:tc>
        <w:tc>
          <w:tcPr/>
          <w:p>
            <w:pPr>
              <w:pStyle w:val="Compact"/>
            </w:pPr>
            <w:r>
              <w:t xml:space="preserve">2026</w:t>
            </w:r>
          </w:p>
        </w:tc>
        <w:tc>
          <w:tcPr/>
          <w:p>
            <w:pPr>
              <w:pStyle w:val="Compact"/>
            </w:pPr>
            <w:r>
              <w:t xml:space="preserve">Perú</w:t>
            </w:r>
          </w:p>
        </w:tc>
        <w:tc>
          <w:tcPr/>
          <w:p>
            <w:pPr>
              <w:pStyle w:val="Compact"/>
            </w:pPr>
            <w:r>
              <w:t xml:space="preserve">Cualitativo; 418 universitarios</w:t>
            </w:r>
          </w:p>
        </w:tc>
        <w:tc>
          <w:tcPr/>
          <w:p>
            <w:pPr>
              <w:pStyle w:val="Compact"/>
            </w:pPr>
            <w:r>
              <w:t xml:space="preserve">Continuo entre interacción de alta calidad (verificar, apropiarse) y de baja calidad (delegación cognitiva, dependencia, ocultamiento)</w:t>
            </w:r>
          </w:p>
        </w:tc>
        <w:tc>
          <w:tcPr/>
          <w:p>
            <w:pPr>
              <w:pStyle w:val="Compact"/>
            </w:pPr>
            <w:r>
              <w:t xml:space="preserve">Riesgo de delegación cognitiva</w:t>
            </w:r>
          </w:p>
        </w:tc>
        <w:tc>
          <w:tcPr/>
          <w:p>
            <w:pPr>
              <w:pStyle w:val="Compact"/>
            </w:pPr>
            <w:r>
              <w:t xml:space="preserve">https://doi.org/10.3390/educsci16040515</w:t>
            </w:r>
          </w:p>
        </w:tc>
      </w:tr>
      <w:tr>
        <w:tc>
          <w:tcPr/>
          <w:p>
            <w:pPr>
              <w:pStyle w:val="Compact"/>
            </w:pPr>
            <w:r>
              <w:t xml:space="preserve">17</w:t>
            </w:r>
          </w:p>
        </w:tc>
        <w:tc>
          <w:tcPr/>
          <w:p>
            <w:pPr>
              <w:pStyle w:val="Compact"/>
            </w:pPr>
            <w:r>
              <w:t xml:space="preserve">Etesse, M. et al. </w:t>
            </w:r>
            <w:r>
              <w:t xml:space="preserve">“Intervenciones educativas para mitigar la desinformación en estudiantes universitarios”</w:t>
            </w:r>
            <w:r>
              <w:t xml:space="preserve">.</w:t>
            </w:r>
            <w:r>
              <w:t xml:space="preserve"> </w:t>
            </w:r>
            <w:r>
              <w:rPr>
                <w:i/>
                <w:iCs/>
              </w:rPr>
              <w:t xml:space="preserve">RIDU</w:t>
            </w:r>
            <w:r>
              <w:t xml:space="preserve">.</w:t>
            </w:r>
          </w:p>
        </w:tc>
        <w:tc>
          <w:tcPr/>
          <w:p>
            <w:pPr>
              <w:pStyle w:val="Compact"/>
            </w:pPr>
            <w:r>
              <w:t xml:space="preserve">2025</w:t>
            </w:r>
          </w:p>
        </w:tc>
        <w:tc>
          <w:tcPr/>
          <w:p>
            <w:pPr>
              <w:pStyle w:val="Compact"/>
            </w:pPr>
            <w:r>
              <w:t xml:space="preserve">Perú y España</w:t>
            </w:r>
          </w:p>
        </w:tc>
        <w:tc>
          <w:tcPr/>
          <w:p>
            <w:pPr>
              <w:pStyle w:val="Compact"/>
            </w:pPr>
            <w:r>
              <w:t xml:space="preserve">Revisión de alcance de 27 estudios</w:t>
            </w:r>
          </w:p>
        </w:tc>
        <w:tc>
          <w:tcPr/>
          <w:p>
            <w:pPr>
              <w:pStyle w:val="Compact"/>
            </w:pPr>
            <w:r>
              <w:t xml:space="preserve">Intervenciones centradas en pensamiento crítico; instrumentos poco validados</w:t>
            </w:r>
          </w:p>
        </w:tc>
        <w:tc>
          <w:tcPr/>
          <w:p>
            <w:pPr>
              <w:pStyle w:val="Compact"/>
            </w:pPr>
            <w:r>
              <w:t xml:space="preserve">Diseño de lectura crítica digital</w:t>
            </w:r>
          </w:p>
        </w:tc>
        <w:tc>
          <w:tcPr/>
          <w:p>
            <w:pPr>
              <w:pStyle w:val="Compact"/>
            </w:pPr>
            <w:r>
              <w:t xml:space="preserve">https://doi.org/10.19083/ridu.2025.2159</w:t>
            </w:r>
          </w:p>
        </w:tc>
      </w:tr>
      <w:tr>
        <w:tc>
          <w:tcPr/>
          <w:p>
            <w:pPr>
              <w:pStyle w:val="Compact"/>
            </w:pPr>
            <w:r>
              <w:t xml:space="preserve">18</w:t>
            </w:r>
          </w:p>
        </w:tc>
        <w:tc>
          <w:tcPr/>
          <w:p>
            <w:pPr>
              <w:pStyle w:val="Compact"/>
            </w:pPr>
            <w:r>
              <w:t xml:space="preserve">Tongo-Silva, A.</w:t>
            </w:r>
            <w:r>
              <w:t xml:space="preserve"> </w:t>
            </w:r>
            <w:r>
              <w:t xml:space="preserve">“Inteligencia artificial y comprensión lectora en estudiantes: una revisión sistemática”</w:t>
            </w:r>
            <w:r>
              <w:t xml:space="preserve">.</w:t>
            </w:r>
            <w:r>
              <w:t xml:space="preserve"> </w:t>
            </w:r>
            <w:r>
              <w:rPr>
                <w:i/>
                <w:iCs/>
              </w:rPr>
              <w:t xml:space="preserve">Horizontes</w:t>
            </w:r>
            <w:r>
              <w:t xml:space="preserve">.</w:t>
            </w:r>
          </w:p>
        </w:tc>
        <w:tc>
          <w:tcPr/>
          <w:p>
            <w:pPr>
              <w:pStyle w:val="Compact"/>
            </w:pPr>
            <w:r>
              <w:t xml:space="preserve">2026</w:t>
            </w:r>
          </w:p>
        </w:tc>
        <w:tc>
          <w:tcPr/>
          <w:p>
            <w:pPr>
              <w:pStyle w:val="Compact"/>
            </w:pPr>
            <w:r>
              <w:t xml:space="preserve">Global (desde el Perú)</w:t>
            </w:r>
          </w:p>
        </w:tc>
        <w:tc>
          <w:tcPr/>
          <w:p>
            <w:pPr>
              <w:pStyle w:val="Compact"/>
            </w:pPr>
            <w:r>
              <w:t xml:space="preserve">PRISMA; 50 estudios (2019-2025)</w:t>
            </w:r>
          </w:p>
        </w:tc>
        <w:tc>
          <w:tcPr/>
          <w:p>
            <w:pPr>
              <w:pStyle w:val="Compact"/>
            </w:pPr>
            <w:r>
              <w:t xml:space="preserve">Efecto predominantemente positivo; preocupaciones por dependencia y ética; piden estudios más rigurosos</w:t>
            </w:r>
          </w:p>
        </w:tc>
        <w:tc>
          <w:tcPr/>
          <w:p>
            <w:pPr>
              <w:pStyle w:val="Compact"/>
            </w:pPr>
            <w:r>
              <w:t xml:space="preserve">Estado del arte de la IA aplicada a la lectura</w:t>
            </w:r>
          </w:p>
        </w:tc>
        <w:tc>
          <w:tcPr/>
          <w:p>
            <w:pPr>
              <w:pStyle w:val="Compact"/>
            </w:pPr>
            <w:r>
              <w:t xml:space="preserve">https://doi.org/10.33996/revistahorizontes.v10i43.1279</w:t>
            </w:r>
          </w:p>
        </w:tc>
      </w:tr>
    </w:tbl>
    <w:bookmarkEnd w:id="20"/>
    <w:bookmarkStart w:id="21" w:name="américa-latina-y-españa"/>
    <w:p>
      <w:pPr>
        <w:pStyle w:val="Heading3"/>
      </w:pPr>
      <w:r>
        <w:t xml:space="preserve">6.2 América Latina y España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Cita</w:t>
            </w:r>
          </w:p>
        </w:tc>
        <w:tc>
          <w:tcPr/>
          <w:p>
            <w:pPr>
              <w:pStyle w:val="Compact"/>
            </w:pPr>
            <w:r>
              <w:t xml:space="preserve">Año</w:t>
            </w:r>
          </w:p>
        </w:tc>
        <w:tc>
          <w:tcPr/>
          <w:p>
            <w:pPr>
              <w:pStyle w:val="Compact"/>
            </w:pPr>
            <w:r>
              <w:t xml:space="preserve">País</w:t>
            </w:r>
          </w:p>
        </w:tc>
        <w:tc>
          <w:tcPr/>
          <w:p>
            <w:pPr>
              <w:pStyle w:val="Compact"/>
            </w:pPr>
            <w:r>
              <w:t xml:space="preserve">Método y muestra</w:t>
            </w:r>
          </w:p>
        </w:tc>
        <w:tc>
          <w:tcPr/>
          <w:p>
            <w:pPr>
              <w:pStyle w:val="Compact"/>
            </w:pPr>
            <w:r>
              <w:t xml:space="preserve">Hallazgo clave</w:t>
            </w:r>
          </w:p>
        </w:tc>
        <w:tc>
          <w:tcPr/>
          <w:p>
            <w:pPr>
              <w:pStyle w:val="Compact"/>
            </w:pPr>
            <w:r>
              <w:t xml:space="preserve">Relevancia</w:t>
            </w:r>
          </w:p>
        </w:tc>
        <w:tc>
          <w:tcPr/>
          <w:p>
            <w:pPr>
              <w:pStyle w:val="Compact"/>
            </w:pPr>
            <w:r>
              <w:t xml:space="preserve">DOI</w:t>
            </w:r>
          </w:p>
        </w:tc>
      </w:tr>
      <w:tr>
        <w:tc>
          <w:tcPr/>
          <w:p>
            <w:pPr>
              <w:pStyle w:val="Compact"/>
            </w:pPr>
            <w:r>
              <w:t xml:space="preserve">19</w:t>
            </w:r>
          </w:p>
        </w:tc>
        <w:tc>
          <w:tcPr/>
          <w:p>
            <w:pPr>
              <w:pStyle w:val="Compact"/>
            </w:pPr>
            <w:r>
              <w:t xml:space="preserve">Baker, D. L., Crespo, P., Monzalve Macaya, M. et al. </w:t>
            </w:r>
            <w:r>
              <w:t xml:space="preserve">“Relation between the essential components of reading and reading comprehension in monolingual Spanish-speaking children: a meta-analysis”</w:t>
            </w:r>
            <w:r>
              <w:t xml:space="preserve">.</w:t>
            </w:r>
            <w:r>
              <w:t xml:space="preserve"> </w:t>
            </w:r>
            <w:r>
              <w:rPr>
                <w:i/>
                <w:iCs/>
              </w:rPr>
              <w:t xml:space="preserve">Educational Psychology Review</w:t>
            </w:r>
            <w:r>
              <w:t xml:space="preserve">.</w:t>
            </w:r>
          </w:p>
        </w:tc>
        <w:tc>
          <w:tcPr/>
          <w:p>
            <w:pPr>
              <w:pStyle w:val="Compact"/>
            </w:pPr>
            <w:r>
              <w:t xml:space="preserve">2022</w:t>
            </w:r>
          </w:p>
        </w:tc>
        <w:tc>
          <w:tcPr/>
          <w:p>
            <w:pPr>
              <w:pStyle w:val="Compact"/>
            </w:pPr>
            <w:r>
              <w:t xml:space="preserve">Hispanohablantes</w:t>
            </w:r>
          </w:p>
        </w:tc>
        <w:tc>
          <w:tcPr/>
          <w:p>
            <w:pPr>
              <w:pStyle w:val="Compact"/>
            </w:pPr>
            <w:r>
              <w:t xml:space="preserve">Metaanálisis (resumen no recuperado)</w:t>
            </w:r>
          </w:p>
        </w:tc>
        <w:tc>
          <w:tcPr/>
          <w:p>
            <w:pPr>
              <w:pStyle w:val="Compact"/>
            </w:pPr>
            <w:r>
              <w:t xml:space="preserve">Relación entre los componentes de la lectura y la comprensión en niños hispanohablantes (según el título)</w:t>
            </w:r>
          </w:p>
        </w:tc>
        <w:tc>
          <w:tcPr/>
          <w:p>
            <w:pPr>
              <w:pStyle w:val="Compact"/>
            </w:pPr>
            <w:r>
              <w:t xml:space="preserve">Base de la ciencia de la lectura en castellano</w:t>
            </w:r>
          </w:p>
        </w:tc>
        <w:tc>
          <w:tcPr/>
          <w:p>
            <w:pPr>
              <w:pStyle w:val="Compact"/>
            </w:pPr>
            <w:r>
              <w:t xml:space="preserve">https://doi.org/10.1007/s10648-022-09694-1</w:t>
            </w:r>
          </w:p>
        </w:tc>
      </w:tr>
      <w:tr>
        <w:tc>
          <w:tcPr/>
          <w:p>
            <w:pPr>
              <w:pStyle w:val="Compact"/>
            </w:pPr>
            <w:r>
              <w:t xml:space="preserve">20</w:t>
            </w:r>
          </w:p>
        </w:tc>
        <w:tc>
          <w:tcPr/>
          <w:p>
            <w:pPr>
              <w:pStyle w:val="Compact"/>
            </w:pPr>
            <w:r>
              <w:t xml:space="preserve">Sánchez-Vincitore, L. V. et al. </w:t>
            </w:r>
            <w:r>
              <w:t xml:space="preserve">“Reading comprehension precursors: Evidence of the simple view of reading in a transparent orthography”</w:t>
            </w:r>
            <w:r>
              <w:t xml:space="preserve">.</w:t>
            </w:r>
            <w:r>
              <w:t xml:space="preserve"> </w:t>
            </w:r>
            <w:r>
              <w:rPr>
                <w:i/>
                <w:iCs/>
              </w:rPr>
              <w:t xml:space="preserve">Frontiers in Education</w:t>
            </w:r>
            <w:r>
              <w:t xml:space="preserve">.</w:t>
            </w:r>
          </w:p>
        </w:tc>
        <w:tc>
          <w:tcPr/>
          <w:p>
            <w:pPr>
              <w:pStyle w:val="Compact"/>
            </w:pPr>
            <w:r>
              <w:t xml:space="preserve">2022</w:t>
            </w:r>
          </w:p>
        </w:tc>
        <w:tc>
          <w:tcPr/>
          <w:p>
            <w:pPr>
              <w:pStyle w:val="Compact"/>
            </w:pPr>
            <w:r>
              <w:t xml:space="preserve">República Dominicana</w:t>
            </w:r>
          </w:p>
        </w:tc>
        <w:tc>
          <w:tcPr/>
          <w:p>
            <w:pPr>
              <w:pStyle w:val="Compact"/>
            </w:pPr>
            <w:r>
              <w:t xml:space="preserve">4750 estudiantes de 2.° y 4.° grado</w:t>
            </w:r>
          </w:p>
        </w:tc>
        <w:tc>
          <w:tcPr/>
          <w:p>
            <w:pPr>
              <w:pStyle w:val="Compact"/>
            </w:pPr>
            <w:r>
              <w:t xml:space="preserve">Reconocimiento de palabras y comprensión oral explican el 80 % de la comprensión; la automaticidad llega más tarde de lo esperado</w:t>
            </w:r>
          </w:p>
        </w:tc>
        <w:tc>
          <w:tcPr/>
          <w:p>
            <w:pPr>
              <w:pStyle w:val="Compact"/>
            </w:pPr>
            <w:r>
              <w:t xml:space="preserve">La decodificación sigue importando en castellano</w:t>
            </w:r>
          </w:p>
        </w:tc>
        <w:tc>
          <w:tcPr/>
          <w:p>
            <w:pPr>
              <w:pStyle w:val="Compact"/>
            </w:pPr>
            <w:r>
              <w:t xml:space="preserve">https://doi.org/10.3389/feduc.2022.914414</w:t>
            </w:r>
          </w:p>
        </w:tc>
      </w:tr>
      <w:tr>
        <w:tc>
          <w:tcPr/>
          <w:p>
            <w:pPr>
              <w:pStyle w:val="Compact"/>
            </w:pPr>
            <w:r>
              <w:t xml:space="preserve">21</w:t>
            </w:r>
          </w:p>
        </w:tc>
        <w:tc>
          <w:tcPr/>
          <w:p>
            <w:pPr>
              <w:pStyle w:val="Compact"/>
            </w:pPr>
            <w:r>
              <w:t xml:space="preserve">Claro, S., Orellana, P., Valenzuela, J. P. y Fantoni, D.</w:t>
            </w:r>
            <w:r>
              <w:t xml:space="preserve"> </w:t>
            </w:r>
            <w:r>
              <w:t xml:space="preserve">“Reading achievement of Chilean second-grade students after Covid-19”</w:t>
            </w:r>
            <w:r>
              <w:t xml:space="preserve">.</w:t>
            </w:r>
            <w:r>
              <w:t xml:space="preserve"> </w:t>
            </w:r>
            <w:r>
              <w:rPr>
                <w:i/>
                <w:iCs/>
              </w:rPr>
              <w:t xml:space="preserve">Calidad en la Educación</w:t>
            </w:r>
            <w:r>
              <w:t xml:space="preserve">.</w:t>
            </w:r>
          </w:p>
        </w:tc>
        <w:tc>
          <w:tcPr/>
          <w:p>
            <w:pPr>
              <w:pStyle w:val="Compact"/>
            </w:pPr>
            <w:r>
              <w:t xml:space="preserve">2025</w:t>
            </w:r>
          </w:p>
        </w:tc>
        <w:tc>
          <w:tcPr/>
          <w:p>
            <w:pPr>
              <w:pStyle w:val="Compact"/>
            </w:pPr>
            <w:r>
              <w:t xml:space="preserve">Chile</w:t>
            </w:r>
          </w:p>
        </w:tc>
        <w:tc>
          <w:tcPr/>
          <w:p>
            <w:pPr>
              <w:pStyle w:val="Compact"/>
            </w:pPr>
            <w:r>
              <w:t xml:space="preserve">Muestra representativa de 2.° grado</w:t>
            </w:r>
          </w:p>
        </w:tc>
        <w:tc>
          <w:tcPr/>
          <w:p>
            <w:pPr>
              <w:pStyle w:val="Compact"/>
            </w:pPr>
            <w:r>
              <w:t xml:space="preserve">El 60 % está bajo lo esperado. La causa son el reconocimiento de palabras (88 %) y el vocabulario (58 %), no la comprensión oral.</w:t>
            </w:r>
          </w:p>
        </w:tc>
        <w:tc>
          <w:tcPr/>
          <w:p>
            <w:pPr>
              <w:pStyle w:val="Compact"/>
            </w:pPr>
            <w:r>
              <w:t xml:space="preserve">Diagnóstico por subprocesos</w:t>
            </w:r>
          </w:p>
        </w:tc>
        <w:tc>
          <w:tcPr/>
          <w:p>
            <w:pPr>
              <w:pStyle w:val="Compact"/>
            </w:pPr>
            <w:r>
              <w:t xml:space="preserve">https://doi.org/10.31619/caledu.n61.1510</w:t>
            </w:r>
          </w:p>
        </w:tc>
      </w:tr>
      <w:tr>
        <w:tc>
          <w:tcPr/>
          <w:p>
            <w:pPr>
              <w:pStyle w:val="Compact"/>
            </w:pPr>
            <w:r>
              <w:t xml:space="preserve">22</w:t>
            </w:r>
          </w:p>
        </w:tc>
        <w:tc>
          <w:tcPr/>
          <w:p>
            <w:pPr>
              <w:pStyle w:val="Compact"/>
            </w:pPr>
            <w:r>
              <w:t xml:space="preserve">Escobar, J.-P., Espinoza, V. y Balboa, S.</w:t>
            </w:r>
            <w:r>
              <w:t xml:space="preserve"> </w:t>
            </w:r>
            <w:r>
              <w:t xml:space="preserve">“Relations between executive functions and reading comprehension…”</w:t>
            </w:r>
            <w:r>
              <w:t xml:space="preserve">.</w:t>
            </w:r>
            <w:r>
              <w:t xml:space="preserve"> </w:t>
            </w:r>
            <w:r>
              <w:rPr>
                <w:i/>
                <w:iCs/>
              </w:rPr>
              <w:t xml:space="preserve">Brain Sciences</w:t>
            </w:r>
            <w:r>
              <w:t xml:space="preserve">.</w:t>
            </w:r>
          </w:p>
        </w:tc>
        <w:tc>
          <w:tcPr/>
          <w:p>
            <w:pPr>
              <w:pStyle w:val="Compact"/>
            </w:pPr>
            <w:r>
              <w:t xml:space="preserve">2024</w:t>
            </w:r>
          </w:p>
        </w:tc>
        <w:tc>
          <w:tcPr/>
          <w:p>
            <w:pPr>
              <w:pStyle w:val="Compact"/>
            </w:pPr>
            <w:r>
              <w:t xml:space="preserve">Chile</w:t>
            </w:r>
          </w:p>
        </w:tc>
        <w:tc>
          <w:tcPr/>
          <w:p>
            <w:pPr>
              <w:pStyle w:val="Compact"/>
            </w:pPr>
            <w:r>
              <w:t xml:space="preserve">89 estudiantes de 4.° grado</w:t>
            </w:r>
          </w:p>
        </w:tc>
        <w:tc>
          <w:tcPr/>
          <w:p>
            <w:pPr>
              <w:pStyle w:val="Compact"/>
            </w:pPr>
            <w:r>
              <w:t xml:space="preserve">La memoria de trabajo y la inhibición inciden en la comprensión a través del vocabulario</w:t>
            </w:r>
          </w:p>
        </w:tc>
        <w:tc>
          <w:tcPr/>
          <w:p>
            <w:pPr>
              <w:pStyle w:val="Compact"/>
            </w:pPr>
            <w:r>
              <w:t xml:space="preserve">El vocabulario como mediador</w:t>
            </w:r>
          </w:p>
        </w:tc>
        <w:tc>
          <w:tcPr/>
          <w:p>
            <w:pPr>
              <w:pStyle w:val="Compact"/>
            </w:pPr>
            <w:r>
              <w:t xml:space="preserve">https://doi.org/10.3390/brainsci14121174</w:t>
            </w:r>
          </w:p>
        </w:tc>
      </w:tr>
      <w:tr>
        <w:tc>
          <w:tcPr/>
          <w:p>
            <w:pPr>
              <w:pStyle w:val="Compact"/>
            </w:pPr>
            <w:r>
              <w:t xml:space="preserve">23</w:t>
            </w:r>
          </w:p>
        </w:tc>
        <w:tc>
          <w:tcPr/>
          <w:p>
            <w:pPr>
              <w:pStyle w:val="Compact"/>
            </w:pPr>
            <w:r>
              <w:t xml:space="preserve">Serrano-Mendizábal, M. et al. </w:t>
            </w:r>
            <w:r>
              <w:t xml:space="preserve">“Effects of two computer-based interventions on reading comprehension: Does strategy instruction matter?”</w:t>
            </w:r>
            <w:r>
              <w:t xml:space="preserve">.</w:t>
            </w:r>
            <w:r>
              <w:t xml:space="preserve"> </w:t>
            </w:r>
            <w:r>
              <w:rPr>
                <w:i/>
                <w:iCs/>
              </w:rPr>
              <w:t xml:space="preserve">Computers &amp; Education</w:t>
            </w:r>
            <w:r>
              <w:t xml:space="preserve">.</w:t>
            </w:r>
          </w:p>
        </w:tc>
        <w:tc>
          <w:tcPr/>
          <w:p>
            <w:pPr>
              <w:pStyle w:val="Compact"/>
            </w:pPr>
            <w:r>
              <w:t xml:space="preserve">2023</w:t>
            </w:r>
          </w:p>
        </w:tc>
        <w:tc>
          <w:tcPr/>
          <w:p>
            <w:pPr>
              <w:pStyle w:val="Compact"/>
            </w:pPr>
            <w:r>
              <w:t xml:space="preserve">España</w:t>
            </w:r>
          </w:p>
        </w:tc>
        <w:tc>
          <w:tcPr/>
          <w:p>
            <w:pPr>
              <w:pStyle w:val="Compact"/>
            </w:pPr>
            <w:r>
              <w:t xml:space="preserve">Experimento pre-post; 130 estudiantes de 6.° grado; 8 sesiones</w:t>
            </w:r>
          </w:p>
        </w:tc>
        <w:tc>
          <w:tcPr/>
          <w:p>
            <w:pPr>
              <w:pStyle w:val="Compact"/>
            </w:pPr>
            <w:r>
              <w:t xml:space="preserve">La práctica de preguntas mejora la comprensión del texto base; la instrucción en estrategias mejora el</w:t>
            </w:r>
            <w:r>
              <w:t xml:space="preserve"> </w:t>
            </w:r>
            <w:r>
              <w:rPr>
                <w:b/>
                <w:bCs/>
              </w:rPr>
              <w:t xml:space="preserve">modelo de situación</w:t>
            </w:r>
            <w:r>
              <w:t xml:space="preserve"> </w:t>
            </w:r>
            <w:r>
              <w:t xml:space="preserve">(comprensión profunda)</w:t>
            </w:r>
          </w:p>
        </w:tc>
        <w:tc>
          <w:tcPr/>
          <w:p>
            <w:pPr>
              <w:pStyle w:val="Compact"/>
            </w:pPr>
            <w:r>
              <w:t xml:space="preserve">Diseño del tutor: estrategias, no solo preguntas</w:t>
            </w:r>
          </w:p>
        </w:tc>
        <w:tc>
          <w:tcPr/>
          <w:p>
            <w:pPr>
              <w:pStyle w:val="Compact"/>
            </w:pPr>
            <w:r>
              <w:t xml:space="preserve">https://doi.org/10.1016/j.compedu.2023.104727</w:t>
            </w:r>
          </w:p>
        </w:tc>
      </w:tr>
      <w:tr>
        <w:tc>
          <w:tcPr/>
          <w:p>
            <w:pPr>
              <w:pStyle w:val="Compact"/>
            </w:pPr>
            <w:r>
              <w:t xml:space="preserve">24</w:t>
            </w:r>
          </w:p>
        </w:tc>
        <w:tc>
          <w:tcPr/>
          <w:p>
            <w:pPr>
              <w:pStyle w:val="Compact"/>
            </w:pPr>
            <w:r>
              <w:t xml:space="preserve">Medranda Morales, N. et al. </w:t>
            </w:r>
            <w:r>
              <w:t xml:space="preserve">“Reading comprehension: An essential process for the development of critical thinking”</w:t>
            </w:r>
            <w:r>
              <w:t xml:space="preserve">.</w:t>
            </w:r>
            <w:r>
              <w:t xml:space="preserve"> </w:t>
            </w:r>
            <w:r>
              <w:rPr>
                <w:i/>
                <w:iCs/>
              </w:rPr>
              <w:t xml:space="preserve">Education Sciences</w:t>
            </w:r>
            <w:r>
              <w:t xml:space="preserve">.</w:t>
            </w:r>
          </w:p>
        </w:tc>
        <w:tc>
          <w:tcPr/>
          <w:p>
            <w:pPr>
              <w:pStyle w:val="Compact"/>
            </w:pPr>
            <w:r>
              <w:t xml:space="preserve">2023</w:t>
            </w:r>
          </w:p>
        </w:tc>
        <w:tc>
          <w:tcPr/>
          <w:p>
            <w:pPr>
              <w:pStyle w:val="Compact"/>
            </w:pPr>
            <w:r>
              <w:t xml:space="preserve">Ecuador</w:t>
            </w:r>
          </w:p>
        </w:tc>
        <w:tc>
          <w:tcPr/>
          <w:p>
            <w:pPr>
              <w:pStyle w:val="Compact"/>
            </w:pPr>
            <w:r>
              <w:t xml:space="preserve">Correlacional por encuesta; estudiantes de 12 a 16 años de 5 escuelas</w:t>
            </w:r>
          </w:p>
        </w:tc>
        <w:tc>
          <w:tcPr/>
          <w:p>
            <w:pPr>
              <w:pStyle w:val="Compact"/>
            </w:pPr>
            <w:r>
              <w:t xml:space="preserve">Relación entre comprensión lectora y pensamiento crítico</w:t>
            </w:r>
          </w:p>
        </w:tc>
        <w:tc>
          <w:tcPr/>
          <w:p>
            <w:pPr>
              <w:pStyle w:val="Compact"/>
            </w:pPr>
            <w:r>
              <w:t xml:space="preserve">Apoya la hipótesis (débil)</w:t>
            </w:r>
          </w:p>
        </w:tc>
        <w:tc>
          <w:tcPr/>
          <w:p>
            <w:pPr>
              <w:pStyle w:val="Compact"/>
            </w:pPr>
            <w:r>
              <w:t xml:space="preserve">https://doi.org/10.3390/educsci13111068</w:t>
            </w:r>
          </w:p>
        </w:tc>
      </w:tr>
      <w:tr>
        <w:tc>
          <w:tcPr/>
          <w:p>
            <w:pPr>
              <w:pStyle w:val="Compact"/>
            </w:pPr>
            <w:r>
              <w:t xml:space="preserve">25</w:t>
            </w:r>
          </w:p>
        </w:tc>
        <w:tc>
          <w:tcPr/>
          <w:p>
            <w:pPr>
              <w:pStyle w:val="Compact"/>
            </w:pPr>
            <w:r>
              <w:t xml:space="preserve">Hess Zimmermann, K. et al. </w:t>
            </w:r>
            <w:r>
              <w:t xml:space="preserve">“Strategies employed by Mexican secondary school students when facing unfamiliar academic vocabulary”</w:t>
            </w:r>
            <w:r>
              <w:t xml:space="preserve">.</w:t>
            </w:r>
            <w:r>
              <w:t xml:space="preserve"> </w:t>
            </w:r>
            <w:r>
              <w:rPr>
                <w:i/>
                <w:iCs/>
              </w:rPr>
              <w:t xml:space="preserve">Education Sciences</w:t>
            </w:r>
            <w:r>
              <w:t xml:space="preserve">.</w:t>
            </w:r>
          </w:p>
        </w:tc>
        <w:tc>
          <w:tcPr/>
          <w:p>
            <w:pPr>
              <w:pStyle w:val="Compact"/>
            </w:pPr>
            <w:r>
              <w:t xml:space="preserve">2025</w:t>
            </w:r>
          </w:p>
        </w:tc>
        <w:tc>
          <w:tcPr/>
          <w:p>
            <w:pPr>
              <w:pStyle w:val="Compact"/>
            </w:pPr>
            <w:r>
              <w:t xml:space="preserve">México</w:t>
            </w:r>
          </w:p>
        </w:tc>
        <w:tc>
          <w:tcPr/>
          <w:p>
            <w:pPr>
              <w:pStyle w:val="Compact"/>
            </w:pPr>
            <w:r>
              <w:t xml:space="preserve">n = 40, 1.° de secundaria</w:t>
            </w:r>
          </w:p>
        </w:tc>
        <w:tc>
          <w:tcPr/>
          <w:p>
            <w:pPr>
              <w:pStyle w:val="Compact"/>
            </w:pPr>
            <w:r>
              <w:t xml:space="preserve">Comprensión y vocabulario académico se refuerzan mutuamente; el análisis morfológico es lo más eficaz</w:t>
            </w:r>
          </w:p>
        </w:tc>
        <w:tc>
          <w:tcPr/>
          <w:p>
            <w:pPr>
              <w:pStyle w:val="Compact"/>
            </w:pPr>
            <w:r>
              <w:t xml:space="preserve">Glosarios y vocabulario académico</w:t>
            </w:r>
          </w:p>
        </w:tc>
        <w:tc>
          <w:tcPr/>
          <w:p>
            <w:pPr>
              <w:pStyle w:val="Compact"/>
            </w:pPr>
            <w:r>
              <w:t xml:space="preserve">https://doi.org/10.3390/educsci15070917</w:t>
            </w:r>
          </w:p>
        </w:tc>
      </w:tr>
      <w:tr>
        <w:tc>
          <w:tcPr/>
          <w:p>
            <w:pPr>
              <w:pStyle w:val="Compact"/>
            </w:pPr>
            <w:r>
              <w:t xml:space="preserve">26</w:t>
            </w:r>
          </w:p>
        </w:tc>
        <w:tc>
          <w:tcPr/>
          <w:p>
            <w:pPr>
              <w:pStyle w:val="Compact"/>
            </w:pPr>
            <w:r>
              <w:t xml:space="preserve">Cockerill, M., Orellana, P. y Thurston, A.</w:t>
            </w:r>
            <w:r>
              <w:t xml:space="preserve"> </w:t>
            </w:r>
            <w:r>
              <w:t xml:space="preserve">“Testing the feasibility and impact of train-the-trainer delivery for a peer tutoring reading programme in Chile”</w:t>
            </w:r>
            <w:r>
              <w:t xml:space="preserve">.</w:t>
            </w:r>
            <w:r>
              <w:t xml:space="preserve"> </w:t>
            </w:r>
            <w:r>
              <w:rPr>
                <w:i/>
                <w:iCs/>
              </w:rPr>
              <w:t xml:space="preserve">Education Sciences</w:t>
            </w:r>
            <w:r>
              <w:t xml:space="preserve">.</w:t>
            </w:r>
          </w:p>
        </w:tc>
        <w:tc>
          <w:tcPr/>
          <w:p>
            <w:pPr>
              <w:pStyle w:val="Compact"/>
            </w:pPr>
            <w:r>
              <w:t xml:space="preserve">2025</w:t>
            </w:r>
          </w:p>
        </w:tc>
        <w:tc>
          <w:tcPr/>
          <w:p>
            <w:pPr>
              <w:pStyle w:val="Compact"/>
            </w:pPr>
            <w:r>
              <w:t xml:space="preserve">Chile (alta pobreza)</w:t>
            </w:r>
          </w:p>
        </w:tc>
        <w:tc>
          <w:tcPr/>
          <w:p>
            <w:pPr>
              <w:pStyle w:val="Compact"/>
            </w:pPr>
            <w:r>
              <w:t xml:space="preserve">Diseño con grupo control emparejado; 98 estudiantes de 6.° grado</w:t>
            </w:r>
          </w:p>
        </w:tc>
        <w:tc>
          <w:tcPr/>
          <w:p>
            <w:pPr>
              <w:pStyle w:val="Compact"/>
            </w:pPr>
            <w:r>
              <w:t xml:space="preserve">Lectura en pares: d = 0,67</w:t>
            </w:r>
          </w:p>
        </w:tc>
        <w:tc>
          <w:tcPr/>
          <w:p>
            <w:pPr>
              <w:pStyle w:val="Compact"/>
            </w:pPr>
            <w:r>
              <w:t xml:space="preserve">Intervención barata y escalable en castellano</w:t>
            </w:r>
          </w:p>
        </w:tc>
        <w:tc>
          <w:tcPr/>
          <w:p>
            <w:pPr>
              <w:pStyle w:val="Compact"/>
            </w:pPr>
            <w:r>
              <w:t xml:space="preserve">https://doi.org/10.3390/educsci15121590</w:t>
            </w:r>
          </w:p>
        </w:tc>
      </w:tr>
      <w:tr>
        <w:tc>
          <w:tcPr/>
          <w:p>
            <w:pPr>
              <w:pStyle w:val="Compact"/>
            </w:pPr>
            <w:r>
              <w:t xml:space="preserve">27</w:t>
            </w:r>
          </w:p>
        </w:tc>
        <w:tc>
          <w:tcPr/>
          <w:p>
            <w:pPr>
              <w:pStyle w:val="Compact"/>
            </w:pPr>
            <w:r>
              <w:t xml:space="preserve">Álvarez Marinelli, H., Berlinski, S., Busso, M. y Martínez Correa, J.</w:t>
            </w:r>
            <w:r>
              <w:t xml:space="preserve"> </w:t>
            </w:r>
            <w:r>
              <w:t xml:space="preserve">“Improving early literacy through teacher professional development: Experimental evidence from Colombia”</w:t>
            </w:r>
            <w:r>
              <w:t xml:space="preserve"> </w:t>
            </w:r>
            <w:r>
              <w:t xml:space="preserve">(BID).</w:t>
            </w:r>
          </w:p>
        </w:tc>
        <w:tc>
          <w:tcPr/>
          <w:p>
            <w:pPr>
              <w:pStyle w:val="Compact"/>
            </w:pPr>
            <w:r>
              <w:t xml:space="preserve">2022</w:t>
            </w:r>
          </w:p>
        </w:tc>
        <w:tc>
          <w:tcPr/>
          <w:p>
            <w:pPr>
              <w:pStyle w:val="Compact"/>
            </w:pPr>
            <w:r>
              <w:t xml:space="preserve">Colombia</w:t>
            </w:r>
          </w:p>
        </w:tc>
        <w:tc>
          <w:tcPr/>
          <w:p>
            <w:pPr>
              <w:pStyle w:val="Compact"/>
            </w:pPr>
            <w:r>
              <w:t xml:space="preserve">Ensayo aleatorio; programa</w:t>
            </w:r>
            <w:r>
              <w:t xml:space="preserve"> </w:t>
            </w:r>
            <w:r>
              <w:t xml:space="preserve">“Leamos todos”</w:t>
            </w:r>
            <w:r>
              <w:t xml:space="preserve"> </w:t>
            </w:r>
            <w:r>
              <w:t xml:space="preserve">de un año con coaching y materiales estructurados</w:t>
            </w:r>
          </w:p>
        </w:tc>
        <w:tc>
          <w:tcPr/>
          <w:p>
            <w:pPr>
              <w:pStyle w:val="Compact"/>
            </w:pPr>
            <w:r>
              <w:rPr>
                <w:b/>
                <w:bCs/>
              </w:rPr>
              <w:t xml:space="preserve">+0,386 DE</w:t>
            </w:r>
            <w:r>
              <w:t xml:space="preserve">, persistente hasta 3.° grado. Intervenir en 1.° es más costo-efectivo que remediar en 3.°.</w:t>
            </w:r>
          </w:p>
        </w:tc>
        <w:tc>
          <w:tcPr/>
          <w:p>
            <w:pPr>
              <w:pStyle w:val="Compact"/>
            </w:pPr>
            <w:r>
              <w:t xml:space="preserve">Pedagogía estructurada con evidencia en castellano</w:t>
            </w:r>
          </w:p>
        </w:tc>
        <w:tc>
          <w:tcPr/>
          <w:p>
            <w:pPr>
              <w:pStyle w:val="Compact"/>
            </w:pPr>
            <w:r>
              <w:t xml:space="preserve">https://doi.org/10.18235/0004514</w:t>
            </w:r>
          </w:p>
        </w:tc>
      </w:tr>
      <w:tr>
        <w:tc>
          <w:tcPr/>
          <w:p>
            <w:pPr>
              <w:pStyle w:val="Compact"/>
            </w:pPr>
            <w:r>
              <w:t xml:space="preserve">28</w:t>
            </w:r>
          </w:p>
        </w:tc>
        <w:tc>
          <w:tcPr/>
          <w:p>
            <w:pPr>
              <w:pStyle w:val="Compact"/>
            </w:pPr>
            <w:r>
              <w:t xml:space="preserve">Rebolledo, N. et al. </w:t>
            </w:r>
            <w:r>
              <w:t xml:space="preserve">“Remote tutoring in language: Evidence from Paraguay”</w:t>
            </w:r>
            <w:r>
              <w:t xml:space="preserve"> </w:t>
            </w:r>
            <w:r>
              <w:t xml:space="preserve">(BID).</w:t>
            </w:r>
          </w:p>
        </w:tc>
        <w:tc>
          <w:tcPr/>
          <w:p>
            <w:pPr>
              <w:pStyle w:val="Compact"/>
            </w:pPr>
            <w:r>
              <w:t xml:space="preserve">2026</w:t>
            </w:r>
          </w:p>
        </w:tc>
        <w:tc>
          <w:tcPr/>
          <w:p>
            <w:pPr>
              <w:pStyle w:val="Compact"/>
            </w:pPr>
            <w:r>
              <w:t xml:space="preserve">Paraguay</w:t>
            </w:r>
          </w:p>
        </w:tc>
        <w:tc>
          <w:tcPr/>
          <w:p>
            <w:pPr>
              <w:pStyle w:val="Compact"/>
            </w:pPr>
            <w:r>
              <w:t xml:space="preserve">Ensayo aleatorio; 1650 estudiantes de 4.° a 6.° grado; 2 sesiones telefónicas de 30 minutos por semana durante 8 semanas</w:t>
            </w:r>
          </w:p>
        </w:tc>
        <w:tc>
          <w:tcPr/>
          <w:p>
            <w:pPr>
              <w:pStyle w:val="Compact"/>
            </w:pPr>
            <w:r>
              <w:rPr>
                <w:b/>
                <w:bCs/>
              </w:rPr>
              <w:t xml:space="preserve">+0,11 DE</w:t>
            </w:r>
            <w:r>
              <w:t xml:space="preserve"> </w:t>
            </w:r>
            <w:r>
              <w:t xml:space="preserve">en lenguaje. Los tutores del quintil superior aportan +0,38 DE.</w:t>
            </w:r>
          </w:p>
        </w:tc>
        <w:tc>
          <w:tcPr/>
          <w:p>
            <w:pPr>
              <w:pStyle w:val="Compact"/>
            </w:pPr>
            <w:r>
              <w:t xml:space="preserve">Canal telefónico para lectura en castellano</w:t>
            </w:r>
          </w:p>
        </w:tc>
        <w:tc>
          <w:tcPr/>
          <w:p>
            <w:pPr>
              <w:pStyle w:val="Compact"/>
            </w:pPr>
            <w:r>
              <w:t xml:space="preserve">https://doi.org/10.18235/0013975</w:t>
            </w:r>
          </w:p>
        </w:tc>
      </w:tr>
      <w:tr>
        <w:tc>
          <w:tcPr/>
          <w:p>
            <w:pPr>
              <w:pStyle w:val="Compact"/>
            </w:pPr>
            <w:r>
              <w:t xml:space="preserve">29</w:t>
            </w:r>
          </w:p>
        </w:tc>
        <w:tc>
          <w:tcPr/>
          <w:p>
            <w:pPr>
              <w:pStyle w:val="Compact"/>
            </w:pPr>
            <w:r>
              <w:t xml:space="preserve">Zoido, P. et al. </w:t>
            </w:r>
            <w:r>
              <w:t xml:space="preserve">“Remote tutoring with low-tech means to accelerate learning: Evidence for El Salvador”</w:t>
            </w:r>
            <w:r>
              <w:t xml:space="preserve"> </w:t>
            </w:r>
            <w:r>
              <w:t xml:space="preserve">(BID).</w:t>
            </w:r>
          </w:p>
        </w:tc>
        <w:tc>
          <w:tcPr/>
          <w:p>
            <w:pPr>
              <w:pStyle w:val="Compact"/>
            </w:pPr>
            <w:r>
              <w:t xml:space="preserve">2022</w:t>
            </w:r>
          </w:p>
        </w:tc>
        <w:tc>
          <w:tcPr/>
          <w:p>
            <w:pPr>
              <w:pStyle w:val="Compact"/>
            </w:pPr>
            <w:r>
              <w:t xml:space="preserve">El Salvador</w:t>
            </w:r>
          </w:p>
        </w:tc>
        <w:tc>
          <w:tcPr/>
          <w:p>
            <w:pPr>
              <w:pStyle w:val="Compact"/>
            </w:pPr>
            <w:r>
              <w:t xml:space="preserve">Ensayo aleatorio; SMS y llamadas de 20 minutos durante 8 semanas</w:t>
            </w:r>
          </w:p>
        </w:tc>
        <w:tc>
          <w:tcPr/>
          <w:p>
            <w:pPr>
              <w:pStyle w:val="Compact"/>
            </w:pPr>
            <w:r>
              <w:t xml:space="preserve">+0,23 DE en matemática</w:t>
            </w:r>
          </w:p>
        </w:tc>
        <w:tc>
          <w:tcPr/>
          <w:p>
            <w:pPr>
              <w:pStyle w:val="Compact"/>
            </w:pPr>
            <w:r>
              <w:t xml:space="preserve">Canal de baja tecnología</w:t>
            </w:r>
          </w:p>
        </w:tc>
        <w:tc>
          <w:tcPr/>
          <w:p>
            <w:pPr>
              <w:pStyle w:val="Compact"/>
            </w:pPr>
            <w:r>
              <w:t xml:space="preserve">https://doi.org/10.18235/0004690</w:t>
            </w:r>
          </w:p>
        </w:tc>
      </w:tr>
      <w:tr>
        <w:tc>
          <w:tcPr/>
          <w:p>
            <w:pPr>
              <w:pStyle w:val="Compact"/>
            </w:pPr>
            <w:r>
              <w:t xml:space="preserve">30</w:t>
            </w:r>
          </w:p>
        </w:tc>
        <w:tc>
          <w:tcPr/>
          <w:p>
            <w:pPr>
              <w:pStyle w:val="Compact"/>
            </w:pPr>
            <w:r>
              <w:t xml:space="preserve">Vega, E. S. et al. </w:t>
            </w:r>
            <w:r>
              <w:t xml:space="preserve">“Estrategias guiadas y espontáneas de la lectura y escritura académica, y su impacto en el ingreso universitario”</w:t>
            </w:r>
            <w:r>
              <w:t xml:space="preserve">.</w:t>
            </w:r>
            <w:r>
              <w:t xml:space="preserve"> </w:t>
            </w:r>
            <w:r>
              <w:rPr>
                <w:i/>
                <w:iCs/>
              </w:rPr>
              <w:t xml:space="preserve">Espiral</w:t>
            </w:r>
            <w:r>
              <w:t xml:space="preserve">.</w:t>
            </w:r>
          </w:p>
        </w:tc>
        <w:tc>
          <w:tcPr/>
          <w:p>
            <w:pPr>
              <w:pStyle w:val="Compact"/>
            </w:pPr>
            <w:r>
              <w:t xml:space="preserve">2022</w:t>
            </w:r>
          </w:p>
        </w:tc>
        <w:tc>
          <w:tcPr/>
          <w:p>
            <w:pPr>
              <w:pStyle w:val="Compact"/>
            </w:pPr>
            <w:r>
              <w:t xml:space="preserve">Argentina (UNC)</w:t>
            </w:r>
          </w:p>
        </w:tc>
        <w:tc>
          <w:tcPr/>
          <w:p>
            <w:pPr>
              <w:pStyle w:val="Compact"/>
            </w:pPr>
            <w:r>
              <w:t xml:space="preserve">Correlacional; 440 ingresantes</w:t>
            </w:r>
          </w:p>
        </w:tc>
        <w:tc>
          <w:tcPr/>
          <w:p>
            <w:pPr>
              <w:pStyle w:val="Compact"/>
            </w:pPr>
            <w:r>
              <w:t xml:space="preserve">Las estrategias del curso de ingreso influyen en el rendimiento</w:t>
            </w:r>
          </w:p>
        </w:tc>
        <w:tc>
          <w:tcPr/>
          <w:p>
            <w:pPr>
              <w:pStyle w:val="Compact"/>
            </w:pPr>
            <w:r>
              <w:t xml:space="preserve">Puente académico</w:t>
            </w:r>
          </w:p>
        </w:tc>
        <w:tc>
          <w:tcPr/>
          <w:p>
            <w:pPr>
              <w:pStyle w:val="Compact"/>
            </w:pPr>
            <w:r>
              <w:t xml:space="preserve">https://doi.org/10.15332/erdi.v12i2.2922</w:t>
            </w:r>
          </w:p>
        </w:tc>
      </w:tr>
      <w:tr>
        <w:tc>
          <w:tcPr/>
          <w:p>
            <w:pPr>
              <w:pStyle w:val="Compact"/>
            </w:pPr>
            <w:r>
              <w:t xml:space="preserve">31</w:t>
            </w:r>
          </w:p>
        </w:tc>
        <w:tc>
          <w:tcPr/>
          <w:p>
            <w:pPr>
              <w:pStyle w:val="Compact"/>
            </w:pPr>
            <w:r>
              <w:t xml:space="preserve">Olave Arias, G. y Rojas García, I.</w:t>
            </w:r>
            <w:r>
              <w:t xml:space="preserve"> </w:t>
            </w:r>
            <w:r>
              <w:t xml:space="preserve">“Prácticas administrativas de alfabetización académica en tres universidades colombianas”</w:t>
            </w:r>
            <w:r>
              <w:t xml:space="preserve">.</w:t>
            </w:r>
            <w:r>
              <w:t xml:space="preserve"> </w:t>
            </w:r>
            <w:r>
              <w:rPr>
                <w:i/>
                <w:iCs/>
              </w:rPr>
              <w:t xml:space="preserve">Folios</w:t>
            </w:r>
            <w:r>
              <w:t xml:space="preserve">.</w:t>
            </w:r>
          </w:p>
        </w:tc>
        <w:tc>
          <w:tcPr/>
          <w:p>
            <w:pPr>
              <w:pStyle w:val="Compact"/>
            </w:pPr>
            <w:r>
              <w:t xml:space="preserve">2026</w:t>
            </w:r>
          </w:p>
        </w:tc>
        <w:tc>
          <w:tcPr/>
          <w:p>
            <w:pPr>
              <w:pStyle w:val="Compact"/>
            </w:pPr>
            <w:r>
              <w:t xml:space="preserve">Colombia</w:t>
            </w:r>
          </w:p>
        </w:tc>
        <w:tc>
          <w:tcPr/>
          <w:p>
            <w:pPr>
              <w:pStyle w:val="Compact"/>
            </w:pPr>
            <w:r>
              <w:t xml:space="preserve">Estudio de casos</w:t>
            </w:r>
          </w:p>
        </w:tc>
        <w:tc>
          <w:tcPr/>
          <w:p>
            <w:pPr>
              <w:pStyle w:val="Compact"/>
            </w:pPr>
            <w:r>
              <w:t xml:space="preserve">Modelos de centros de escritura (tutores, financiamiento, evaluación)</w:t>
            </w:r>
          </w:p>
        </w:tc>
        <w:tc>
          <w:tcPr/>
          <w:p>
            <w:pPr>
              <w:pStyle w:val="Compact"/>
            </w:pPr>
            <w:r>
              <w:t xml:space="preserve">Modelo institucional</w:t>
            </w:r>
          </w:p>
        </w:tc>
        <w:tc>
          <w:tcPr/>
          <w:p>
            <w:pPr>
              <w:pStyle w:val="Compact"/>
            </w:pPr>
            <w:r>
              <w:t xml:space="preserve">https://doi.org/10.17227/folios.64-22780</w:t>
            </w:r>
          </w:p>
        </w:tc>
      </w:tr>
      <w:tr>
        <w:tc>
          <w:tcPr/>
          <w:p>
            <w:pPr>
              <w:pStyle w:val="Compact"/>
            </w:pPr>
            <w:r>
              <w:t xml:space="preserve">32</w:t>
            </w:r>
          </w:p>
        </w:tc>
        <w:tc>
          <w:tcPr/>
          <w:p>
            <w:pPr>
              <w:pStyle w:val="Compact"/>
            </w:pPr>
            <w:r>
              <w:t xml:space="preserve">López-Rodríguez, L. G. et al. </w:t>
            </w:r>
            <w:r>
              <w:t xml:space="preserve">“From diagnostics to implementation: Lectobot for personalized reading comprehension support in university students”</w:t>
            </w:r>
            <w:r>
              <w:t xml:space="preserve">.</w:t>
            </w:r>
            <w:r>
              <w:t xml:space="preserve"> </w:t>
            </w:r>
            <w:r>
              <w:rPr>
                <w:i/>
                <w:iCs/>
              </w:rPr>
              <w:t xml:space="preserve">Education Sciences</w:t>
            </w:r>
            <w:r>
              <w:t xml:space="preserve">.</w:t>
            </w:r>
          </w:p>
        </w:tc>
        <w:tc>
          <w:tcPr/>
          <w:p>
            <w:pPr>
              <w:pStyle w:val="Compact"/>
            </w:pPr>
            <w:r>
              <w:t xml:space="preserve">2025</w:t>
            </w:r>
          </w:p>
        </w:tc>
        <w:tc>
          <w:tcPr/>
          <w:p>
            <w:pPr>
              <w:pStyle w:val="Compact"/>
            </w:pPr>
            <w:r>
              <w:t xml:space="preserve">México</w:t>
            </w:r>
          </w:p>
        </w:tc>
        <w:tc>
          <w:tcPr/>
          <w:p>
            <w:pPr>
              <w:pStyle w:val="Compact"/>
            </w:pPr>
            <w:r>
              <w:t xml:space="preserve">Métodos mixtos; 58 ingresantes y un grupo focal de 8</w:t>
            </w:r>
          </w:p>
        </w:tc>
        <w:tc>
          <w:tcPr/>
          <w:p>
            <w:pPr>
              <w:pStyle w:val="Compact"/>
            </w:pPr>
            <w:r>
              <w:t xml:space="preserve">Mediana de cerca del 55 % de aciertos. Chatbot con andamiaje en los niveles</w:t>
            </w:r>
            <w:r>
              <w:t xml:space="preserve"> </w:t>
            </w:r>
            <w:r>
              <w:rPr>
                <w:b/>
                <w:bCs/>
              </w:rPr>
              <w:t xml:space="preserve">literal, inferencial y crítico</w:t>
            </w:r>
            <w:r>
              <w:t xml:space="preserve">, percibido como útil; problemas técnicos.</w:t>
            </w:r>
          </w:p>
        </w:tc>
        <w:tc>
          <w:tcPr/>
          <w:p>
            <w:pPr>
              <w:pStyle w:val="Compact"/>
            </w:pPr>
            <w:r>
              <w:rPr>
                <w:b/>
                <w:bCs/>
              </w:rPr>
              <w:t xml:space="preserve">El antecedente más cercano</w:t>
            </w:r>
            <w:r>
              <w:t xml:space="preserve"> </w:t>
            </w:r>
            <w:r>
              <w:t xml:space="preserve">a las rutas 3 y 4</w:t>
            </w:r>
          </w:p>
        </w:tc>
        <w:tc>
          <w:tcPr/>
          <w:p>
            <w:pPr>
              <w:pStyle w:val="Compact"/>
            </w:pPr>
            <w:r>
              <w:t xml:space="preserve">https://doi.org/10.3390/educsci16010010</w:t>
            </w:r>
          </w:p>
        </w:tc>
      </w:tr>
      <w:tr>
        <w:tc>
          <w:tcPr/>
          <w:p>
            <w:pPr>
              <w:pStyle w:val="Compact"/>
            </w:pPr>
            <w:r>
              <w:t xml:space="preserve">33</w:t>
            </w:r>
          </w:p>
        </w:tc>
        <w:tc>
          <w:tcPr/>
          <w:p>
            <w:pPr>
              <w:pStyle w:val="Compact"/>
            </w:pPr>
            <w:r>
              <w:t xml:space="preserve">Sánchez Domínguez, M. G. et al. </w:t>
            </w:r>
            <w:r>
              <w:t xml:space="preserve">“Las TIC en la enseñanza de la comprensión lectora en estudiantes de secundaria”</w:t>
            </w:r>
            <w:r>
              <w:t xml:space="preserve">.</w:t>
            </w:r>
            <w:r>
              <w:t xml:space="preserve"> </w:t>
            </w:r>
            <w:r>
              <w:rPr>
                <w:i/>
                <w:iCs/>
              </w:rPr>
              <w:t xml:space="preserve">Diálogos sobre Educación</w:t>
            </w:r>
            <w:r>
              <w:t xml:space="preserve">.</w:t>
            </w:r>
          </w:p>
        </w:tc>
        <w:tc>
          <w:tcPr/>
          <w:p>
            <w:pPr>
              <w:pStyle w:val="Compact"/>
            </w:pPr>
            <w:r>
              <w:t xml:space="preserve">2025</w:t>
            </w:r>
          </w:p>
        </w:tc>
        <w:tc>
          <w:tcPr/>
          <w:p>
            <w:pPr>
              <w:pStyle w:val="Compact"/>
            </w:pPr>
            <w:r>
              <w:t xml:space="preserve">México</w:t>
            </w:r>
          </w:p>
        </w:tc>
        <w:tc>
          <w:tcPr/>
          <w:p>
            <w:pPr>
              <w:pStyle w:val="Compact"/>
            </w:pPr>
            <w:r>
              <w:t xml:space="preserve">Cuasiexperimento; n = 70</w:t>
            </w:r>
          </w:p>
        </w:tc>
        <w:tc>
          <w:tcPr/>
          <w:p>
            <w:pPr>
              <w:pStyle w:val="Compact"/>
            </w:pPr>
            <w:r>
              <w:t xml:space="preserve">Sin mejora inmediata; mejora diferida en el grupo experimental</w:t>
            </w:r>
          </w:p>
        </w:tc>
        <w:tc>
          <w:tcPr/>
          <w:p>
            <w:pPr>
              <w:pStyle w:val="Compact"/>
            </w:pPr>
            <w:r>
              <w:t xml:space="preserve">Efectos tecnológicos modestos</w:t>
            </w:r>
          </w:p>
        </w:tc>
        <w:tc>
          <w:tcPr/>
          <w:p>
            <w:pPr>
              <w:pStyle w:val="Compact"/>
            </w:pPr>
            <w:r>
              <w:t xml:space="preserve">https://doi.org/10.32870/dse.v0i33.1483</w:t>
            </w:r>
          </w:p>
        </w:tc>
      </w:tr>
      <w:tr>
        <w:tc>
          <w:tcPr/>
          <w:p>
            <w:pPr>
              <w:pStyle w:val="Compact"/>
            </w:pPr>
            <w:r>
              <w:t xml:space="preserve">34</w:t>
            </w:r>
          </w:p>
        </w:tc>
        <w:tc>
          <w:tcPr/>
          <w:p>
            <w:pPr>
              <w:pStyle w:val="Compact"/>
            </w:pPr>
            <w:r>
              <w:t xml:space="preserve">Rosas Díaz, R. et al. </w:t>
            </w:r>
            <w:r>
              <w:t xml:space="preserve">“Estancamiento de brechas de resultados educativos entre dependencias en Chile (2014-2024)”</w:t>
            </w:r>
            <w:r>
              <w:t xml:space="preserve">.</w:t>
            </w:r>
            <w:r>
              <w:t xml:space="preserve"> </w:t>
            </w:r>
            <w:r>
              <w:rPr>
                <w:i/>
                <w:iCs/>
              </w:rPr>
              <w:t xml:space="preserve">Psykhe</w:t>
            </w:r>
            <w:r>
              <w:t xml:space="preserve">.</w:t>
            </w:r>
          </w:p>
        </w:tc>
        <w:tc>
          <w:tcPr/>
          <w:p>
            <w:pPr>
              <w:pStyle w:val="Compact"/>
            </w:pPr>
            <w:r>
              <w:t xml:space="preserve">2026</w:t>
            </w:r>
          </w:p>
        </w:tc>
        <w:tc>
          <w:tcPr/>
          <w:p>
            <w:pPr>
              <w:pStyle w:val="Compact"/>
            </w:pPr>
            <w:r>
              <w:t xml:space="preserve">Chile</w:t>
            </w:r>
          </w:p>
        </w:tc>
        <w:tc>
          <w:tcPr/>
          <w:p>
            <w:pPr>
              <w:pStyle w:val="Compact"/>
            </w:pPr>
            <w:r>
              <w:t xml:space="preserve">Análisis de SIMCE, PSU, PDT, PAES y PISA</w:t>
            </w:r>
          </w:p>
        </w:tc>
        <w:tc>
          <w:tcPr/>
          <w:p>
            <w:pPr>
              <w:pStyle w:val="Compact"/>
            </w:pPr>
            <w:r>
              <w:t xml:space="preserve">Brechas persistentes entre públicos y privados, que llegan a 1,7 DE en la adultez</w:t>
            </w:r>
          </w:p>
        </w:tc>
        <w:tc>
          <w:tcPr/>
          <w:p>
            <w:pPr>
              <w:pStyle w:val="Compact"/>
            </w:pPr>
            <w:r>
              <w:t xml:space="preserve">Desigualdad estructural</w:t>
            </w:r>
          </w:p>
        </w:tc>
        <w:tc>
          <w:tcPr/>
          <w:p>
            <w:pPr>
              <w:pStyle w:val="Compact"/>
            </w:pPr>
            <w:r>
              <w:t xml:space="preserve">https://doi.org/10.7764/psykhe.2025.92824</w:t>
            </w:r>
          </w:p>
        </w:tc>
      </w:tr>
      <w:tr>
        <w:tc>
          <w:tcPr/>
          <w:p>
            <w:pPr>
              <w:pStyle w:val="Compact"/>
            </w:pPr>
            <w:r>
              <w:t xml:space="preserve">35</w:t>
            </w:r>
          </w:p>
        </w:tc>
        <w:tc>
          <w:tcPr/>
          <w:p>
            <w:pPr>
              <w:pStyle w:val="Compact"/>
            </w:pPr>
            <w:r>
              <w:t xml:space="preserve">Rodríguez Revilla, R. y Vallejo Molina, R. D.</w:t>
            </w:r>
            <w:r>
              <w:t xml:space="preserve"> </w:t>
            </w:r>
            <w:r>
              <w:t xml:space="preserve">“Valor agregado y las competencias genéricas de los estudiantes de educación superior en Colombia”</w:t>
            </w:r>
            <w:r>
              <w:t xml:space="preserve">.</w:t>
            </w:r>
            <w:r>
              <w:t xml:space="preserve"> </w:t>
            </w:r>
            <w:r>
              <w:rPr>
                <w:i/>
                <w:iCs/>
              </w:rPr>
              <w:t xml:space="preserve">RIES</w:t>
            </w:r>
            <w:r>
              <w:t xml:space="preserve">.</w:t>
            </w:r>
          </w:p>
        </w:tc>
        <w:tc>
          <w:tcPr/>
          <w:p>
            <w:pPr>
              <w:pStyle w:val="Compact"/>
            </w:pPr>
            <w:r>
              <w:t xml:space="preserve">2022</w:t>
            </w:r>
          </w:p>
        </w:tc>
        <w:tc>
          <w:tcPr/>
          <w:p>
            <w:pPr>
              <w:pStyle w:val="Compact"/>
            </w:pPr>
            <w:r>
              <w:t xml:space="preserve">Colombia</w:t>
            </w:r>
          </w:p>
        </w:tc>
        <w:tc>
          <w:tcPr/>
          <w:p>
            <w:pPr>
              <w:pStyle w:val="Compact"/>
            </w:pPr>
            <w:r>
              <w:t xml:space="preserve">Modelos multinivel, 2012-2016</w:t>
            </w:r>
          </w:p>
        </w:tc>
        <w:tc>
          <w:tcPr/>
          <w:p>
            <w:pPr>
              <w:pStyle w:val="Compact"/>
            </w:pPr>
            <w:r>
              <w:t xml:space="preserve">En lectura crítica no hay diferencias de valor agregado entre universidades</w:t>
            </w:r>
          </w:p>
        </w:tc>
        <w:tc>
          <w:tcPr/>
          <w:p>
            <w:pPr>
              <w:pStyle w:val="Compact"/>
            </w:pPr>
            <w:r>
              <w:t xml:space="preserve">La universidad agrega poco en lectura crítica</w:t>
            </w:r>
          </w:p>
        </w:tc>
        <w:tc>
          <w:tcPr/>
          <w:p>
            <w:pPr>
              <w:pStyle w:val="Compact"/>
            </w:pPr>
            <w:r>
              <w:t xml:space="preserve">https://doi.org/10.22201/iisue.20072872e.2022.36.1183</w:t>
            </w:r>
          </w:p>
        </w:tc>
      </w:tr>
      <w:tr>
        <w:tc>
          <w:tcPr/>
          <w:p>
            <w:pPr>
              <w:pStyle w:val="Compact"/>
            </w:pPr>
            <w:r>
              <w:t xml:space="preserve">36</w:t>
            </w:r>
          </w:p>
        </w:tc>
        <w:tc>
          <w:tcPr/>
          <w:p>
            <w:pPr>
              <w:pStyle w:val="Compact"/>
            </w:pPr>
            <w:r>
              <w:t xml:space="preserve">Pulido Aguirre, Y. A. y Ferreira, L. A.</w:t>
            </w:r>
            <w:r>
              <w:t xml:space="preserve"> </w:t>
            </w:r>
            <w:r>
              <w:t xml:space="preserve">“Diseño y validación cualitativa de una prueba de lectura crítica para educación terciaria en Colombia”</w:t>
            </w:r>
            <w:r>
              <w:t xml:space="preserve">.</w:t>
            </w:r>
            <w:r>
              <w:t xml:space="preserve"> </w:t>
            </w:r>
            <w:r>
              <w:rPr>
                <w:i/>
                <w:iCs/>
              </w:rPr>
              <w:t xml:space="preserve">CODES</w:t>
            </w:r>
            <w:r>
              <w:t xml:space="preserve">.</w:t>
            </w:r>
          </w:p>
        </w:tc>
        <w:tc>
          <w:tcPr/>
          <w:p>
            <w:pPr>
              <w:pStyle w:val="Compact"/>
            </w:pPr>
            <w:r>
              <w:t xml:space="preserve">2023</w:t>
            </w:r>
          </w:p>
        </w:tc>
        <w:tc>
          <w:tcPr/>
          <w:p>
            <w:pPr>
              <w:pStyle w:val="Compact"/>
            </w:pPr>
            <w:r>
              <w:t xml:space="preserve">Colombia</w:t>
            </w:r>
          </w:p>
        </w:tc>
        <w:tc>
          <w:tcPr/>
          <w:p>
            <w:pPr>
              <w:pStyle w:val="Compact"/>
            </w:pPr>
            <w:r>
              <w:t xml:space="preserve">Validación con jueces</w:t>
            </w:r>
          </w:p>
        </w:tc>
        <w:tc>
          <w:tcPr/>
          <w:p>
            <w:pPr>
              <w:pStyle w:val="Compact"/>
            </w:pPr>
            <w:r>
              <w:t xml:space="preserve">El 87,5 % de los ítems fue aprobado; marco ICFES</w:t>
            </w:r>
          </w:p>
        </w:tc>
        <w:tc>
          <w:tcPr/>
          <w:p>
            <w:pPr>
              <w:pStyle w:val="Compact"/>
            </w:pPr>
            <w:r>
              <w:t xml:space="preserve">Instrumento para medir lectura crítica</w:t>
            </w:r>
          </w:p>
        </w:tc>
        <w:tc>
          <w:tcPr/>
          <w:p>
            <w:pPr>
              <w:pStyle w:val="Compact"/>
            </w:pPr>
            <w:r>
              <w:t xml:space="preserve">https://doi.org/10.15443/codes2064</w:t>
            </w:r>
          </w:p>
        </w:tc>
      </w:tr>
      <w:tr>
        <w:tc>
          <w:tcPr/>
          <w:p>
            <w:pPr>
              <w:pStyle w:val="Compact"/>
            </w:pPr>
            <w:r>
              <w:t xml:space="preserve">37</w:t>
            </w:r>
          </w:p>
        </w:tc>
        <w:tc>
          <w:tcPr/>
          <w:p>
            <w:pPr>
              <w:pStyle w:val="Compact"/>
            </w:pPr>
            <w:r>
              <w:t xml:space="preserve">Peralta, N. S. et al. </w:t>
            </w:r>
            <w:r>
              <w:t xml:space="preserve">“Argumentación en jóvenes universitarios: revisión de investigaciones…”</w:t>
            </w:r>
            <w:r>
              <w:t xml:space="preserve">.</w:t>
            </w:r>
            <w:r>
              <w:t xml:space="preserve"> </w:t>
            </w:r>
            <w:r>
              <w:rPr>
                <w:i/>
                <w:iCs/>
              </w:rPr>
              <w:t xml:space="preserve">Revista Latinoamericana de Ciencias Sociales, Niñez y Juventud</w:t>
            </w:r>
            <w:r>
              <w:t xml:space="preserve">.</w:t>
            </w:r>
          </w:p>
        </w:tc>
        <w:tc>
          <w:tcPr/>
          <w:p>
            <w:pPr>
              <w:pStyle w:val="Compact"/>
            </w:pPr>
            <w:r>
              <w:t xml:space="preserve">2023</w:t>
            </w:r>
          </w:p>
        </w:tc>
        <w:tc>
          <w:tcPr/>
          <w:p>
            <w:pPr>
              <w:pStyle w:val="Compact"/>
            </w:pPr>
            <w:r>
              <w:t xml:space="preserve">Argentina</w:t>
            </w:r>
          </w:p>
        </w:tc>
        <w:tc>
          <w:tcPr/>
          <w:p>
            <w:pPr>
              <w:pStyle w:val="Compact"/>
            </w:pPr>
            <w:r>
              <w:t xml:space="preserve">Revisión de una década de estudios</w:t>
            </w:r>
          </w:p>
        </w:tc>
        <w:tc>
          <w:tcPr/>
          <w:p>
            <w:pPr>
              <w:pStyle w:val="Compact"/>
            </w:pPr>
            <w:r>
              <w:t xml:space="preserve">El conflicto sociocognitivo y la interacción favorecen la argumentación</w:t>
            </w:r>
          </w:p>
        </w:tc>
        <w:tc>
          <w:tcPr/>
          <w:p>
            <w:pPr>
              <w:pStyle w:val="Compact"/>
            </w:pPr>
            <w:r>
              <w:t xml:space="preserve">Fundamento del tutor dialógico</w:t>
            </w:r>
          </w:p>
        </w:tc>
        <w:tc>
          <w:tcPr/>
          <w:p>
            <w:pPr>
              <w:pStyle w:val="Compact"/>
            </w:pPr>
            <w:r>
              <w:t xml:space="preserve">https://doi.org/10.11600/rlcsnj.21.2.5783</w:t>
            </w:r>
          </w:p>
        </w:tc>
      </w:tr>
      <w:tr>
        <w:tc>
          <w:tcPr/>
          <w:p>
            <w:pPr>
              <w:pStyle w:val="Compact"/>
            </w:pPr>
            <w:r>
              <w:t xml:space="preserve">38</w:t>
            </w:r>
          </w:p>
        </w:tc>
        <w:tc>
          <w:tcPr/>
          <w:p>
            <w:pPr>
              <w:pStyle w:val="Compact"/>
            </w:pPr>
            <w:r>
              <w:t xml:space="preserve">Huerta Patraca, G. A. et al. </w:t>
            </w:r>
            <w:r>
              <w:t xml:space="preserve">“Inteligencia artificial y pensamiento crítico en universitarios: una revisión sistemática”</w:t>
            </w:r>
            <w:r>
              <w:t xml:space="preserve">.</w:t>
            </w:r>
            <w:r>
              <w:t xml:space="preserve"> </w:t>
            </w:r>
            <w:r>
              <w:rPr>
                <w:i/>
                <w:iCs/>
              </w:rPr>
              <w:t xml:space="preserve">RIDE</w:t>
            </w:r>
            <w:r>
              <w:t xml:space="preserve">.</w:t>
            </w:r>
          </w:p>
        </w:tc>
        <w:tc>
          <w:tcPr/>
          <w:p>
            <w:pPr>
              <w:pStyle w:val="Compact"/>
            </w:pPr>
            <w:r>
              <w:t xml:space="preserve">2026</w:t>
            </w:r>
          </w:p>
        </w:tc>
        <w:tc>
          <w:tcPr/>
          <w:p>
            <w:pPr>
              <w:pStyle w:val="Compact"/>
            </w:pPr>
            <w:r>
              <w:t xml:space="preserve">México</w:t>
            </w:r>
          </w:p>
        </w:tc>
        <w:tc>
          <w:tcPr/>
          <w:p>
            <w:pPr>
              <w:pStyle w:val="Compact"/>
            </w:pPr>
            <w:r>
              <w:t xml:space="preserve">PRISMA; 32 estudios</w:t>
            </w:r>
          </w:p>
        </w:tc>
        <w:tc>
          <w:tcPr/>
          <w:p>
            <w:pPr>
              <w:pStyle w:val="Compact"/>
            </w:pPr>
            <w:r>
              <w:t xml:space="preserve">Los estudiantes reportan fortalecer su pensamiento crítico al usar la IA como apoyo</w:t>
            </w:r>
          </w:p>
        </w:tc>
        <w:tc>
          <w:tcPr/>
          <w:p>
            <w:pPr>
              <w:pStyle w:val="Compact"/>
            </w:pPr>
            <w:r>
              <w:t xml:space="preserve">Contrasta con PISA 2025 y con Deroncele-Acosta et al. (2026)</w:t>
            </w:r>
          </w:p>
        </w:tc>
        <w:tc>
          <w:tcPr/>
          <w:p>
            <w:pPr>
              <w:pStyle w:val="Compact"/>
            </w:pPr>
            <w:r>
              <w:t xml:space="preserve">https://doi.org/10.23913/ride.v17i33.3129</w:t>
            </w:r>
          </w:p>
        </w:tc>
      </w:tr>
      <w:tr>
        <w:tc>
          <w:tcPr/>
          <w:p>
            <w:pPr>
              <w:pStyle w:val="Compact"/>
            </w:pPr>
            <w:r>
              <w:t xml:space="preserve">39</w:t>
            </w:r>
          </w:p>
        </w:tc>
        <w:tc>
          <w:tcPr/>
          <w:p>
            <w:pPr>
              <w:pStyle w:val="Compact"/>
            </w:pPr>
            <w:r>
              <w:t xml:space="preserve">Moncada N., F., Ibáñez O., R. y Kuperman, V.</w:t>
            </w:r>
            <w:r>
              <w:t xml:space="preserve"> </w:t>
            </w:r>
            <w:r>
              <w:t xml:space="preserve">“The impact of formal education on literacy and numeracy skills in Chilean adults…”</w:t>
            </w:r>
            <w:r>
              <w:t xml:space="preserve">.</w:t>
            </w:r>
            <w:r>
              <w:t xml:space="preserve"> </w:t>
            </w:r>
            <w:r>
              <w:rPr>
                <w:i/>
                <w:iCs/>
              </w:rPr>
              <w:t xml:space="preserve">Frontiers in Education</w:t>
            </w:r>
            <w:r>
              <w:t xml:space="preserve">.</w:t>
            </w:r>
          </w:p>
        </w:tc>
        <w:tc>
          <w:tcPr/>
          <w:p>
            <w:pPr>
              <w:pStyle w:val="Compact"/>
            </w:pPr>
            <w:r>
              <w:t xml:space="preserve">2025</w:t>
            </w:r>
          </w:p>
        </w:tc>
        <w:tc>
          <w:tcPr/>
          <w:p>
            <w:pPr>
              <w:pStyle w:val="Compact"/>
            </w:pPr>
            <w:r>
              <w:t xml:space="preserve">Chile, México, Perú y Ecuador</w:t>
            </w:r>
          </w:p>
        </w:tc>
        <w:tc>
          <w:tcPr/>
          <w:p>
            <w:pPr>
              <w:pStyle w:val="Compact"/>
            </w:pPr>
            <w:r>
              <w:t xml:space="preserve">Análisis de PIAAC</w:t>
            </w:r>
          </w:p>
        </w:tc>
        <w:tc>
          <w:tcPr/>
          <w:p>
            <w:pPr>
              <w:pStyle w:val="Compact"/>
            </w:pPr>
            <w:r>
              <w:t xml:space="preserve">Con cualquier nivel educativo no se alcanza el nivel 3; Perú y Ecuador están entre los más bajos</w:t>
            </w:r>
          </w:p>
        </w:tc>
        <w:tc>
          <w:tcPr/>
          <w:p>
            <w:pPr>
              <w:pStyle w:val="Compact"/>
            </w:pPr>
            <w:r>
              <w:t xml:space="preserve">La brecha persiste en la adultez</w:t>
            </w:r>
          </w:p>
        </w:tc>
        <w:tc>
          <w:tcPr/>
          <w:p>
            <w:pPr>
              <w:pStyle w:val="Compact"/>
            </w:pPr>
            <w:r>
              <w:t xml:space="preserve">https://doi.org/10.3389/feduc.2024.1466947</w:t>
            </w:r>
          </w:p>
        </w:tc>
      </w:tr>
      <w:tr>
        <w:tc>
          <w:tcPr/>
          <w:p>
            <w:pPr>
              <w:pStyle w:val="Compact"/>
            </w:pPr>
            <w:r>
              <w:t xml:space="preserve">40</w:t>
            </w:r>
          </w:p>
        </w:tc>
        <w:tc>
          <w:tcPr/>
          <w:p>
            <w:pPr>
              <w:pStyle w:val="Compact"/>
            </w:pPr>
            <w:r>
              <w:t xml:space="preserve">Cortés-Albornoz, M. C. et al. </w:t>
            </w:r>
            <w:r>
              <w:t xml:space="preserve">“Effects of remote learning during COVID-19 lockdown on children’s learning abilities and school performance”</w:t>
            </w:r>
            <w:r>
              <w:t xml:space="preserve">.</w:t>
            </w:r>
            <w:r>
              <w:t xml:space="preserve"> </w:t>
            </w:r>
            <w:r>
              <w:rPr>
                <w:i/>
                <w:iCs/>
              </w:rPr>
              <w:t xml:space="preserve">IJED</w:t>
            </w:r>
            <w:r>
              <w:t xml:space="preserve">.</w:t>
            </w:r>
          </w:p>
        </w:tc>
        <w:tc>
          <w:tcPr/>
          <w:p>
            <w:pPr>
              <w:pStyle w:val="Compact"/>
            </w:pPr>
            <w:r>
              <w:t xml:space="preserve">2023</w:t>
            </w:r>
          </w:p>
        </w:tc>
        <w:tc>
          <w:tcPr/>
          <w:p>
            <w:pPr>
              <w:pStyle w:val="Compact"/>
            </w:pPr>
            <w:r>
              <w:t xml:space="preserve">Global (equipo colombiano)</w:t>
            </w:r>
          </w:p>
        </w:tc>
        <w:tc>
          <w:tcPr/>
          <w:p>
            <w:pPr>
              <w:pStyle w:val="Compact"/>
            </w:pPr>
            <w:r>
              <w:t xml:space="preserve">Revisión sistemática de 24 estudios</w:t>
            </w:r>
          </w:p>
        </w:tc>
        <w:tc>
          <w:tcPr/>
          <w:p>
            <w:pPr>
              <w:pStyle w:val="Compact"/>
            </w:pPr>
            <w:r>
              <w:t xml:space="preserve">Caídas en las pruebas estandarizadas</w:t>
            </w:r>
          </w:p>
        </w:tc>
        <w:tc>
          <w:tcPr/>
          <w:p>
            <w:pPr>
              <w:pStyle w:val="Compact"/>
            </w:pPr>
            <w:r>
              <w:t xml:space="preserve">Contexto de la pandemia</w:t>
            </w:r>
          </w:p>
        </w:tc>
        <w:tc>
          <w:tcPr/>
          <w:p>
            <w:pPr>
              <w:pStyle w:val="Compact"/>
            </w:pPr>
            <w:r>
              <w:t xml:space="preserve">https://doi.org/10.1016/j.ijedudev.2023.102835</w:t>
            </w:r>
          </w:p>
        </w:tc>
      </w:tr>
      <w:tr>
        <w:tc>
          <w:tcPr/>
          <w:p>
            <w:pPr>
              <w:pStyle w:val="Compact"/>
            </w:pPr>
            <w:r>
              <w:t xml:space="preserve">41</w:t>
            </w:r>
          </w:p>
        </w:tc>
        <w:tc>
          <w:tcPr/>
          <w:p>
            <w:pPr>
              <w:pStyle w:val="Compact"/>
            </w:pPr>
            <w:r>
              <w:t xml:space="preserve">Arias Ortiz, E., Bos, M. S. et al. </w:t>
            </w:r>
            <w:r>
              <w:rPr>
                <w:i/>
                <w:iCs/>
              </w:rPr>
              <w:t xml:space="preserve">Learning can’t wait: Lessons for Latin America and the Caribbean from PISA 2022</w:t>
            </w:r>
            <w:r>
              <w:t xml:space="preserve"> </w:t>
            </w:r>
            <w:r>
              <w:t xml:space="preserve">(BID).</w:t>
            </w:r>
          </w:p>
        </w:tc>
        <w:tc>
          <w:tcPr/>
          <w:p>
            <w:pPr>
              <w:pStyle w:val="Compact"/>
            </w:pPr>
            <w:r>
              <w:t xml:space="preserve">2024</w:t>
            </w:r>
          </w:p>
        </w:tc>
        <w:tc>
          <w:tcPr/>
          <w:p>
            <w:pPr>
              <w:pStyle w:val="Compact"/>
            </w:pPr>
            <w:r>
              <w:t xml:space="preserve">América Latina y el Caribe (14 países)</w:t>
            </w:r>
          </w:p>
        </w:tc>
        <w:tc>
          <w:tcPr/>
          <w:p>
            <w:pPr>
              <w:pStyle w:val="Compact"/>
            </w:pPr>
            <w:r>
              <w:t xml:space="preserve">Análisis de PISA 2022</w:t>
            </w:r>
          </w:p>
        </w:tc>
        <w:tc>
          <w:tcPr/>
          <w:p>
            <w:pPr>
              <w:pStyle w:val="Compact"/>
            </w:pPr>
            <w:r>
              <w:t xml:space="preserve">Aprendizaje bajo y desigual; tendencias desfavorables; prioridad a las habilidades básicas y al uso eficaz de la tecnología</w:t>
            </w:r>
          </w:p>
        </w:tc>
        <w:tc>
          <w:tcPr/>
          <w:p>
            <w:pPr>
              <w:pStyle w:val="Compact"/>
            </w:pPr>
            <w:r>
              <w:t xml:space="preserve">Contexto regional</w:t>
            </w:r>
          </w:p>
        </w:tc>
        <w:tc>
          <w:tcPr/>
          <w:p>
            <w:pPr>
              <w:pStyle w:val="Compact"/>
            </w:pPr>
            <w:r>
              <w:t xml:space="preserve">https://doi.org/10.18235/0005671</w:t>
            </w:r>
          </w:p>
        </w:tc>
      </w:tr>
      <w:tr>
        <w:tc>
          <w:tcPr/>
          <w:p>
            <w:pPr>
              <w:pStyle w:val="Compact"/>
            </w:pPr>
            <w:r>
              <w:t xml:space="preserve">42</w:t>
            </w:r>
          </w:p>
        </w:tc>
        <w:tc>
          <w:tcPr/>
          <w:p>
            <w:pPr>
              <w:pStyle w:val="Compact"/>
            </w:pPr>
            <w:r>
              <w:t xml:space="preserve">de Medeiros Miranda, E. y Baum, D. R.</w:t>
            </w:r>
            <w:r>
              <w:t xml:space="preserve"> </w:t>
            </w:r>
            <w:r>
              <w:t xml:space="preserve">“COVID-19 learning loss and recovery in Brazil”</w:t>
            </w:r>
            <w:r>
              <w:t xml:space="preserve">.</w:t>
            </w:r>
            <w:r>
              <w:t xml:space="preserve"> </w:t>
            </w:r>
            <w:r>
              <w:rPr>
                <w:i/>
                <w:iCs/>
              </w:rPr>
              <w:t xml:space="preserve">EPAA</w:t>
            </w:r>
            <w:r>
              <w:t xml:space="preserve">.</w:t>
            </w:r>
          </w:p>
        </w:tc>
        <w:tc>
          <w:tcPr/>
          <w:p>
            <w:pPr>
              <w:pStyle w:val="Compact"/>
            </w:pPr>
            <w:r>
              <w:t xml:space="preserve">2024</w:t>
            </w:r>
          </w:p>
        </w:tc>
        <w:tc>
          <w:tcPr/>
          <w:p>
            <w:pPr>
              <w:pStyle w:val="Compact"/>
            </w:pPr>
            <w:r>
              <w:t xml:space="preserve">Brasil (referencia regional)</w:t>
            </w:r>
          </w:p>
        </w:tc>
        <w:tc>
          <w:tcPr/>
          <w:p>
            <w:pPr>
              <w:pStyle w:val="Compact"/>
            </w:pPr>
            <w:r>
              <w:t xml:space="preserve">Diferencias en diferencias</w:t>
            </w:r>
          </w:p>
        </w:tc>
        <w:tc>
          <w:tcPr/>
          <w:p>
            <w:pPr>
              <w:pStyle w:val="Compact"/>
            </w:pPr>
            <w:r>
              <w:t xml:space="preserve">Pérdidas en matemática sin recuperación entre 2020 y 2021</w:t>
            </w:r>
          </w:p>
        </w:tc>
        <w:tc>
          <w:tcPr/>
          <w:p>
            <w:pPr>
              <w:pStyle w:val="Compact"/>
            </w:pPr>
            <w:r>
              <w:t xml:space="preserve">Contexto de la pandemia</w:t>
            </w:r>
          </w:p>
        </w:tc>
        <w:tc>
          <w:tcPr/>
          <w:p>
            <w:pPr>
              <w:pStyle w:val="Compact"/>
            </w:pPr>
            <w:r>
              <w:t xml:space="preserve">https://doi.org/10.14507/epaa.32.8082</w:t>
            </w:r>
          </w:p>
        </w:tc>
      </w:tr>
    </w:tbl>
    <w:p>
      <w:pPr>
        <w:pStyle w:val="BodyText"/>
      </w:pPr>
      <w:r>
        <w:rPr>
          <w:b/>
          <w:bCs/>
        </w:rPr>
        <w:t xml:space="preserve">Lectura transversal:</w:t>
      </w:r>
      <w:r>
        <w:t xml:space="preserve"> </w:t>
      </w:r>
      <w:r>
        <w:t xml:space="preserve">-</w:t>
      </w:r>
      <w:r>
        <w:t xml:space="preserve"> </w:t>
      </w:r>
      <w:r>
        <w:rPr>
          <w:b/>
          <w:bCs/>
        </w:rPr>
        <w:t xml:space="preserve">Hay más asociación que causalidad.</w:t>
      </w:r>
      <w:r>
        <w:t xml:space="preserve"> </w:t>
      </w:r>
      <w:r>
        <w:t xml:space="preserve">Abundan las correlaciones entre comprensión lectora y pensamiento crítico (Perú, Ecuador), pero escasean los experimentos en castellano que midan ambos.</w:t>
      </w:r>
      <w:r>
        <w:t xml:space="preserve"> </w:t>
      </w:r>
      <w:r>
        <w:t xml:space="preserve">-</w:t>
      </w:r>
      <w:r>
        <w:t xml:space="preserve"> </w:t>
      </w:r>
      <w:r>
        <w:rPr>
          <w:b/>
          <w:bCs/>
        </w:rPr>
        <w:t xml:space="preserve">Lo que tiene evidencia experimental en castellano</w:t>
      </w:r>
      <w:r>
        <w:t xml:space="preserve"> </w:t>
      </w:r>
      <w:r>
        <w:t xml:space="preserve">es la pedagogía estructurada (Colombia), la tutoría telefónica (Paraguay) y la lectura en pares (Chile, cuasiexperimental).</w:t>
      </w:r>
      <w:r>
        <w:t xml:space="preserve"> </w:t>
      </w:r>
      <w:r>
        <w:t xml:space="preserve">-</w:t>
      </w:r>
      <w:r>
        <w:t xml:space="preserve"> </w:t>
      </w:r>
      <w:r>
        <w:rPr>
          <w:b/>
          <w:bCs/>
        </w:rPr>
        <w:t xml:space="preserve">Los diagnósticos chilenos y dominicanos</w:t>
      </w:r>
      <w:r>
        <w:t xml:space="preserve"> </w:t>
      </w:r>
      <w:r>
        <w:t xml:space="preserve">indican que, en los primeros grados, el eslabón débil es la decodificación automática y el vocabulario. Los peruanos de secundaria y universidad muestran que después lo es la inferencia y la evaluación.</w:t>
      </w:r>
      <w:r>
        <w:t xml:space="preserve"> </w:t>
      </w:r>
      <w:r>
        <w:t xml:space="preserve">-</w:t>
      </w:r>
      <w:r>
        <w:t xml:space="preserve"> </w:t>
      </w:r>
      <w:r>
        <w:rPr>
          <w:b/>
          <w:bCs/>
        </w:rPr>
        <w:t xml:space="preserve">El único antecedente directo de un chatbot por niveles</w:t>
      </w:r>
      <w:r>
        <w:t xml:space="preserve"> </w:t>
      </w:r>
      <w:r>
        <w:t xml:space="preserve">(literal, inferencial y crítico) en castellano es Lectobot (México, 2025): pequeño, sin grupo control y con problemas técnicos.</w:t>
      </w:r>
    </w:p>
    <w:p>
      <w:r>
        <w:pict>
          <v:rect style="width:0;height:1.5pt" o:hralign="center" o:hrstd="t" o:hr="t"/>
        </w:pict>
      </w:r>
    </w:p>
    <w:bookmarkEnd w:id="21"/>
    <w:bookmarkEnd w:id="22"/>
    <w:bookmarkStart w:id="25" w:name="intervenciones-y-edtech-en-castellano"/>
    <w:p>
      <w:pPr>
        <w:pStyle w:val="Heading2"/>
      </w:pPr>
      <w:r>
        <w:t xml:space="preserve">7. Intervenciones y edtech en castellano</w:t>
      </w:r>
    </w:p>
    <w:bookmarkStart w:id="23" w:name="intervenciones-con-evidencia"/>
    <w:p>
      <w:pPr>
        <w:pStyle w:val="Heading3"/>
      </w:pPr>
      <w:r>
        <w:t xml:space="preserve">7.1 Intervenciones con evidencia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Intervención</w:t>
            </w:r>
          </w:p>
        </w:tc>
        <w:tc>
          <w:tcPr/>
          <w:p>
            <w:pPr>
              <w:pStyle w:val="Compact"/>
            </w:pPr>
            <w:r>
              <w:t xml:space="preserve">País</w:t>
            </w:r>
          </w:p>
        </w:tc>
        <w:tc>
          <w:tcPr/>
          <w:p>
            <w:pPr>
              <w:pStyle w:val="Compact"/>
            </w:pPr>
            <w:r>
              <w:t xml:space="preserve">Diseño</w:t>
            </w:r>
          </w:p>
        </w:tc>
        <w:tc>
          <w:tcPr/>
          <w:p>
            <w:pPr>
              <w:pStyle w:val="Compact"/>
            </w:pPr>
            <w:r>
              <w:t xml:space="preserve">Efecto</w:t>
            </w:r>
          </w:p>
        </w:tc>
        <w:tc>
          <w:tcPr/>
          <w:p>
            <w:pPr>
              <w:pStyle w:val="Compact"/>
            </w:pPr>
            <w:r>
              <w:t xml:space="preserve">Fuente</w:t>
            </w:r>
          </w:p>
        </w:tc>
      </w:tr>
      <w:tr>
        <w:tc>
          <w:tcPr/>
          <w:p>
            <w:pPr>
              <w:pStyle w:val="Compact"/>
            </w:pPr>
            <w:r>
              <w:t xml:space="preserve">1</w:t>
            </w:r>
          </w:p>
        </w:tc>
        <w:tc>
          <w:tcPr/>
          <w:p>
            <w:pPr>
              <w:pStyle w:val="Compact"/>
            </w:pPr>
            <w:r>
              <w:t xml:space="preserve">“Leamos todos”</w:t>
            </w:r>
            <w:r>
              <w:t xml:space="preserve">: coaching docente con materiales estructurados en 1.° grado</w:t>
            </w:r>
          </w:p>
        </w:tc>
        <w:tc>
          <w:tcPr/>
          <w:p>
            <w:pPr>
              <w:pStyle w:val="Compact"/>
            </w:pPr>
            <w:r>
              <w:t xml:space="preserve">Colombia</w:t>
            </w:r>
          </w:p>
        </w:tc>
        <w:tc>
          <w:tcPr/>
          <w:p>
            <w:pPr>
              <w:pStyle w:val="Compact"/>
            </w:pPr>
            <w:r>
              <w:t xml:space="preserve">Ensayo aleatorio</w:t>
            </w:r>
          </w:p>
        </w:tc>
        <w:tc>
          <w:tcPr/>
          <w:p>
            <w:pPr>
              <w:pStyle w:val="Compact"/>
            </w:pPr>
            <w:r>
              <w:t xml:space="preserve">+0,386 DE, persistente</w:t>
            </w:r>
          </w:p>
        </w:tc>
        <w:tc>
          <w:tcPr/>
          <w:p>
            <w:pPr>
              <w:pStyle w:val="Compact"/>
            </w:pPr>
            <w:r>
              <w:t xml:space="preserve">Álvarez Marinelli et al. (2022)</w:t>
            </w:r>
          </w:p>
        </w:tc>
      </w:tr>
      <w:tr>
        <w:tc>
          <w:tcPr/>
          <w:p>
            <w:pPr>
              <w:pStyle w:val="Compact"/>
            </w:pPr>
            <w:r>
              <w:t xml:space="preserve">2</w:t>
            </w:r>
          </w:p>
        </w:tc>
        <w:tc>
          <w:tcPr/>
          <w:p>
            <w:pPr>
              <w:pStyle w:val="Compact"/>
            </w:pPr>
            <w:r>
              <w:t xml:space="preserve">Tutoría telefónica en lenguaje (2 sesiones de 30 minutos por semana durante 8 semanas)</w:t>
            </w:r>
          </w:p>
        </w:tc>
        <w:tc>
          <w:tcPr/>
          <w:p>
            <w:pPr>
              <w:pStyle w:val="Compact"/>
            </w:pPr>
            <w:r>
              <w:t xml:space="preserve">Paraguay</w:t>
            </w:r>
          </w:p>
        </w:tc>
        <w:tc>
          <w:tcPr/>
          <w:p>
            <w:pPr>
              <w:pStyle w:val="Compact"/>
            </w:pPr>
            <w:r>
              <w:t xml:space="preserve">Ensayo aleatorio, n = 1650</w:t>
            </w:r>
          </w:p>
        </w:tc>
        <w:tc>
          <w:tcPr/>
          <w:p>
            <w:pPr>
              <w:pStyle w:val="Compact"/>
            </w:pPr>
            <w:r>
              <w:t xml:space="preserve">+0,11 DE; tutores top: +0,38 DE</w:t>
            </w:r>
          </w:p>
        </w:tc>
        <w:tc>
          <w:tcPr/>
          <w:p>
            <w:pPr>
              <w:pStyle w:val="Compact"/>
            </w:pPr>
            <w:r>
              <w:t xml:space="preserve">Rebolledo et al. (2026)</w:t>
            </w:r>
          </w:p>
        </w:tc>
      </w:tr>
      <w:tr>
        <w:tc>
          <w:tcPr/>
          <w:p>
            <w:pPr>
              <w:pStyle w:val="Compact"/>
            </w:pPr>
            <w:r>
              <w:t xml:space="preserve">3</w:t>
            </w:r>
          </w:p>
        </w:tc>
        <w:tc>
          <w:tcPr/>
          <w:p>
            <w:pPr>
              <w:pStyle w:val="Compact"/>
            </w:pPr>
            <w:r>
              <w:t xml:space="preserve">Tutoría telefónica en matemática (Desafía-T)</w:t>
            </w:r>
          </w:p>
        </w:tc>
        <w:tc>
          <w:tcPr/>
          <w:p>
            <w:pPr>
              <w:pStyle w:val="Compact"/>
            </w:pPr>
            <w:r>
              <w:t xml:space="preserve">Perú, Ayacucho</w:t>
            </w:r>
          </w:p>
        </w:tc>
        <w:tc>
          <w:tcPr/>
          <w:p>
            <w:pPr>
              <w:pStyle w:val="Compact"/>
            </w:pPr>
            <w:r>
              <w:t xml:space="preserve">Ensayo aleatorio en 60 colegios</w:t>
            </w:r>
          </w:p>
        </w:tc>
        <w:tc>
          <w:tcPr/>
          <w:p>
            <w:pPr>
              <w:pStyle w:val="Compact"/>
            </w:pPr>
            <w:r>
              <w:t xml:space="preserve">+0,08 DE (p &lt; 0,10)</w:t>
            </w:r>
          </w:p>
        </w:tc>
        <w:tc>
          <w:tcPr/>
          <w:p>
            <w:pPr>
              <w:pStyle w:val="Compact"/>
            </w:pPr>
            <w:r>
              <w:t xml:space="preserve">León et al. (2026), en el informe anterior</w:t>
            </w:r>
          </w:p>
        </w:tc>
      </w:tr>
      <w:tr>
        <w:tc>
          <w:tcPr/>
          <w:p>
            <w:pPr>
              <w:pStyle w:val="Compact"/>
            </w:pPr>
            <w:r>
              <w:t xml:space="preserve">4</w:t>
            </w:r>
          </w:p>
        </w:tc>
        <w:tc>
          <w:tcPr/>
          <w:p>
            <w:pPr>
              <w:pStyle w:val="Compact"/>
            </w:pPr>
            <w:r>
              <w:t xml:space="preserve">Tutoría remota con SMS y llamadas</w:t>
            </w:r>
          </w:p>
        </w:tc>
        <w:tc>
          <w:tcPr/>
          <w:p>
            <w:pPr>
              <w:pStyle w:val="Compact"/>
            </w:pPr>
            <w:r>
              <w:t xml:space="preserve">El Salvador</w:t>
            </w:r>
          </w:p>
        </w:tc>
        <w:tc>
          <w:tcPr/>
          <w:p>
            <w:pPr>
              <w:pStyle w:val="Compact"/>
            </w:pPr>
            <w:r>
              <w:t xml:space="preserve">Ensayo aleatorio</w:t>
            </w:r>
          </w:p>
        </w:tc>
        <w:tc>
          <w:tcPr/>
          <w:p>
            <w:pPr>
              <w:pStyle w:val="Compact"/>
            </w:pPr>
            <w:r>
              <w:t xml:space="preserve">+0,23 DE en matemática</w:t>
            </w:r>
          </w:p>
        </w:tc>
        <w:tc>
          <w:tcPr/>
          <w:p>
            <w:pPr>
              <w:pStyle w:val="Compact"/>
            </w:pPr>
            <w:r>
              <w:t xml:space="preserve">Zoido et al. (2022)</w:t>
            </w:r>
          </w:p>
        </w:tc>
      </w:tr>
      <w:tr>
        <w:tc>
          <w:tcPr/>
          <w:p>
            <w:pPr>
              <w:pStyle w:val="Compact"/>
            </w:pPr>
            <w:r>
              <w:t xml:space="preserve">5</w:t>
            </w:r>
          </w:p>
        </w:tc>
        <w:tc>
          <w:tcPr/>
          <w:p>
            <w:pPr>
              <w:pStyle w:val="Compact"/>
            </w:pPr>
            <w:r>
              <w:t xml:space="preserve">Lectura en pares (</w:t>
            </w:r>
            <w:r>
              <w:rPr>
                <w:i/>
                <w:iCs/>
              </w:rPr>
              <w:t xml:space="preserve">Paired Reading</w:t>
            </w:r>
            <w:r>
              <w:t xml:space="preserve">), versión latinoamericana</w:t>
            </w:r>
          </w:p>
        </w:tc>
        <w:tc>
          <w:tcPr/>
          <w:p>
            <w:pPr>
              <w:pStyle w:val="Compact"/>
            </w:pPr>
            <w:r>
              <w:t xml:space="preserve">Chile</w:t>
            </w:r>
          </w:p>
        </w:tc>
        <w:tc>
          <w:tcPr/>
          <w:p>
            <w:pPr>
              <w:pStyle w:val="Compact"/>
            </w:pPr>
            <w:r>
              <w:t xml:space="preserve">Grupo control emparejado</w:t>
            </w:r>
          </w:p>
        </w:tc>
        <w:tc>
          <w:tcPr/>
          <w:p>
            <w:pPr>
              <w:pStyle w:val="Compact"/>
            </w:pPr>
            <w:r>
              <w:t xml:space="preserve">d = 0,67</w:t>
            </w:r>
          </w:p>
        </w:tc>
        <w:tc>
          <w:tcPr/>
          <w:p>
            <w:pPr>
              <w:pStyle w:val="Compact"/>
            </w:pPr>
            <w:r>
              <w:t xml:space="preserve">Cockerill et al. (2025)</w:t>
            </w:r>
          </w:p>
        </w:tc>
      </w:tr>
      <w:tr>
        <w:tc>
          <w:tcPr/>
          <w:p>
            <w:pPr>
              <w:pStyle w:val="Compact"/>
            </w:pPr>
            <w:r>
              <w:t xml:space="preserve">6</w:t>
            </w:r>
          </w:p>
        </w:tc>
        <w:tc>
          <w:tcPr/>
          <w:p>
            <w:pPr>
              <w:pStyle w:val="Compact"/>
            </w:pPr>
            <w:r>
              <w:t xml:space="preserve">Instrucción en estrategias por computadora (TuinLECweb)</w:t>
            </w:r>
          </w:p>
        </w:tc>
        <w:tc>
          <w:tcPr/>
          <w:p>
            <w:pPr>
              <w:pStyle w:val="Compact"/>
            </w:pPr>
            <w:r>
              <w:t xml:space="preserve">España</w:t>
            </w:r>
          </w:p>
        </w:tc>
        <w:tc>
          <w:tcPr/>
          <w:p>
            <w:pPr>
              <w:pStyle w:val="Compact"/>
            </w:pPr>
            <w:r>
              <w:t xml:space="preserve">Experimental pre-post</w:t>
            </w:r>
          </w:p>
        </w:tc>
        <w:tc>
          <w:tcPr/>
          <w:p>
            <w:pPr>
              <w:pStyle w:val="Compact"/>
            </w:pPr>
            <w:r>
              <w:t xml:space="preserve">Mejora la comprensión profunda frente a solo practicar preguntas</w:t>
            </w:r>
          </w:p>
        </w:tc>
        <w:tc>
          <w:tcPr/>
          <w:p>
            <w:pPr>
              <w:pStyle w:val="Compact"/>
            </w:pPr>
            <w:r>
              <w:t xml:space="preserve">Serrano-Mendizábal et al. (2023)</w:t>
            </w:r>
          </w:p>
        </w:tc>
      </w:tr>
      <w:tr>
        <w:tc>
          <w:tcPr/>
          <w:p>
            <w:pPr>
              <w:pStyle w:val="Compact"/>
            </w:pPr>
            <w:r>
              <w:t xml:space="preserve">7</w:t>
            </w:r>
          </w:p>
        </w:tc>
        <w:tc>
          <w:tcPr/>
          <w:p>
            <w:pPr>
              <w:pStyle w:val="Compact"/>
            </w:pPr>
            <w:r>
              <w:t xml:space="preserve">Leer es estar adelante (BBVA, evaluado por el IEP)</w:t>
            </w:r>
          </w:p>
        </w:tc>
        <w:tc>
          <w:tcPr/>
          <w:p>
            <w:pPr>
              <w:pStyle w:val="Compact"/>
            </w:pPr>
            <w:r>
              <w:t xml:space="preserve">Perú</w:t>
            </w:r>
          </w:p>
        </w:tc>
        <w:tc>
          <w:tcPr/>
          <w:p>
            <w:pPr>
              <w:pStyle w:val="Compact"/>
            </w:pPr>
            <w:r>
              <w:t xml:space="preserve">Evaluación longitudinal</w:t>
            </w:r>
          </w:p>
        </w:tc>
        <w:tc>
          <w:tcPr/>
          <w:p>
            <w:pPr>
              <w:pStyle w:val="Compact"/>
            </w:pPr>
            <w:r>
              <w:t xml:space="preserve">Ver el informe anterior [S]</w:t>
            </w:r>
          </w:p>
        </w:tc>
        <w:tc>
          <w:tcPr/>
          <w:p>
            <w:pPr>
              <w:pStyle w:val="Compact"/>
            </w:pPr>
            <w:r>
              <w:t xml:space="preserve">IEP</w:t>
            </w:r>
          </w:p>
        </w:tc>
      </w:tr>
      <w:tr>
        <w:tc>
          <w:tcPr/>
          <w:p>
            <w:pPr>
              <w:pStyle w:val="Compact"/>
            </w:pPr>
            <w:r>
              <w:t xml:space="preserve">8</w:t>
            </w:r>
          </w:p>
        </w:tc>
        <w:tc>
          <w:tcPr/>
          <w:p>
            <w:pPr>
              <w:pStyle w:val="Compact"/>
            </w:pPr>
            <w:r>
              <w:t xml:space="preserve">Lectura dialógica</w:t>
            </w:r>
          </w:p>
        </w:tc>
        <w:tc>
          <w:tcPr/>
          <w:p>
            <w:pPr>
              <w:pStyle w:val="Compact"/>
            </w:pPr>
            <w:r>
              <w:t xml:space="preserve">Global</w:t>
            </w:r>
          </w:p>
        </w:tc>
        <w:tc>
          <w:tcPr/>
          <w:p>
            <w:pPr>
              <w:pStyle w:val="Compact"/>
            </w:pPr>
            <w:r>
              <w:t xml:space="preserve">Metaanálisis de 64 estudios</w:t>
            </w:r>
          </w:p>
        </w:tc>
        <w:tc>
          <w:tcPr/>
          <w:p>
            <w:pPr>
              <w:pStyle w:val="Compact"/>
            </w:pPr>
            <w:r>
              <w:t xml:space="preserve">g = 0,74 en comprensión</w:t>
            </w:r>
          </w:p>
        </w:tc>
        <w:tc>
          <w:tcPr/>
          <w:p>
            <w:pPr>
              <w:pStyle w:val="Compact"/>
            </w:pPr>
            <w:r>
              <w:t xml:space="preserve">Tang et al. (2026), en el informe anterior</w:t>
            </w:r>
          </w:p>
        </w:tc>
      </w:tr>
      <w:tr>
        <w:tc>
          <w:tcPr/>
          <w:p>
            <w:pPr>
              <w:pStyle w:val="Compact"/>
            </w:pPr>
            <w:r>
              <w:t xml:space="preserve">9</w:t>
            </w:r>
          </w:p>
        </w:tc>
        <w:tc>
          <w:tcPr/>
          <w:p>
            <w:pPr>
              <w:pStyle w:val="Compact"/>
            </w:pPr>
            <w:r>
              <w:t xml:space="preserve">Lectobot (chatbot por niveles)</w:t>
            </w:r>
          </w:p>
        </w:tc>
        <w:tc>
          <w:tcPr/>
          <w:p>
            <w:pPr>
              <w:pStyle w:val="Compact"/>
            </w:pPr>
            <w:r>
              <w:t xml:space="preserve">México</w:t>
            </w:r>
          </w:p>
        </w:tc>
        <w:tc>
          <w:tcPr/>
          <w:p>
            <w:pPr>
              <w:pStyle w:val="Compact"/>
            </w:pPr>
            <w:r>
              <w:t xml:space="preserve">Piloto con métodos mixtos</w:t>
            </w:r>
          </w:p>
        </w:tc>
        <w:tc>
          <w:tcPr/>
          <w:p>
            <w:pPr>
              <w:pStyle w:val="Compact"/>
            </w:pPr>
            <w:r>
              <w:t xml:space="preserve">Percepción de utilidad; sin medición de efecto</w:t>
            </w:r>
          </w:p>
        </w:tc>
        <w:tc>
          <w:tcPr/>
          <w:p>
            <w:pPr>
              <w:pStyle w:val="Compact"/>
            </w:pPr>
            <w:r>
              <w:t xml:space="preserve">López-Rodríguez et al. (2025)</w:t>
            </w:r>
          </w:p>
        </w:tc>
      </w:tr>
      <w:tr>
        <w:tc>
          <w:tcPr/>
          <w:p>
            <w:pPr>
              <w:pStyle w:val="Compact"/>
            </w:pPr>
            <w:r>
              <w:t xml:space="preserve">10</w:t>
            </w:r>
          </w:p>
        </w:tc>
        <w:tc>
          <w:tcPr/>
          <w:p>
            <w:pPr>
              <w:pStyle w:val="Compact"/>
            </w:pPr>
            <w:r>
              <w:t xml:space="preserve">LECSTYC (herramienta digital)</w:t>
            </w:r>
          </w:p>
        </w:tc>
        <w:tc>
          <w:tcPr/>
          <w:p>
            <w:pPr>
              <w:pStyle w:val="Compact"/>
            </w:pPr>
            <w:r>
              <w:t xml:space="preserve">Perú, Amazonas</w:t>
            </w:r>
          </w:p>
        </w:tc>
        <w:tc>
          <w:tcPr/>
          <w:p>
            <w:pPr>
              <w:pStyle w:val="Compact"/>
            </w:pPr>
            <w:r>
              <w:t xml:space="preserve">Preexperimental, n = 25</w:t>
            </w:r>
          </w:p>
        </w:tc>
        <w:tc>
          <w:tcPr/>
          <w:p>
            <w:pPr>
              <w:pStyle w:val="Compact"/>
            </w:pPr>
            <w:r>
              <w:t xml:space="preserve">d = 2,76, no creíble como estimación causal</w:t>
            </w:r>
          </w:p>
        </w:tc>
        <w:tc>
          <w:tcPr/>
          <w:p>
            <w:pPr>
              <w:pStyle w:val="Compact"/>
            </w:pPr>
            <w:r>
              <w:t xml:space="preserve">Huamán Delgado et al. (2026)</w:t>
            </w:r>
          </w:p>
        </w:tc>
      </w:tr>
    </w:tbl>
    <w:bookmarkEnd w:id="23"/>
    <w:bookmarkStart w:id="24" w:name="X3ce8044f8a7a90f763d61d5bd6e28fbf3068a68"/>
    <w:p>
      <w:pPr>
        <w:pStyle w:val="Heading3"/>
      </w:pPr>
      <w:r>
        <w:t xml:space="preserve">7.2 Productos y plataformas en castellano (verificados por su sitio web)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Producto</w:t>
            </w:r>
          </w:p>
        </w:tc>
        <w:tc>
          <w:tcPr/>
          <w:p>
            <w:pPr>
              <w:pStyle w:val="Compact"/>
            </w:pPr>
            <w:r>
              <w:t xml:space="preserve">País</w:t>
            </w:r>
          </w:p>
        </w:tc>
        <w:tc>
          <w:tcPr/>
          <w:p>
            <w:pPr>
              <w:pStyle w:val="Compact"/>
            </w:pPr>
            <w:r>
              <w:t xml:space="preserve">Qué hace en castellano</w:t>
            </w:r>
          </w:p>
        </w:tc>
        <w:tc>
          <w:tcPr/>
          <w:p>
            <w:pPr>
              <w:pStyle w:val="Compact"/>
            </w:pPr>
            <w:r>
              <w:t xml:space="preserve">Relación con el equipo</w:t>
            </w:r>
          </w:p>
        </w:tc>
      </w:tr>
      <w:tr>
        <w:tc>
          <w:tcPr/>
          <w:p>
            <w:pPr>
              <w:pStyle w:val="Compact"/>
            </w:pPr>
            <w:r>
              <w:t xml:space="preserve">Beeverso (antes BeeReaders)</w:t>
            </w:r>
          </w:p>
        </w:tc>
        <w:tc>
          <w:tcPr/>
          <w:p>
            <w:pPr>
              <w:pStyle w:val="Compact"/>
            </w:pPr>
            <w:r>
              <w:t xml:space="preserve">Chile, con presencia en el Perú [S]</w:t>
            </w:r>
          </w:p>
        </w:tc>
        <w:tc>
          <w:tcPr/>
          <w:p>
            <w:pPr>
              <w:pStyle w:val="Compact"/>
            </w:pPr>
            <w:r>
              <w:t xml:space="preserve">Plataforma adaptativa de comprensión lectora en español</w:t>
            </w:r>
          </w:p>
        </w:tc>
        <w:tc>
          <w:tcPr/>
          <w:p>
            <w:pPr>
              <w:pStyle w:val="Compact"/>
            </w:pPr>
            <w:r>
              <w:t xml:space="preserve">Competidor directo en comprensión escrita; no escucha leer ni trabaja quechua</w:t>
            </w:r>
          </w:p>
        </w:tc>
      </w:tr>
      <w:tr>
        <w:tc>
          <w:tcPr/>
          <w:p>
            <w:pPr>
              <w:pStyle w:val="Compact"/>
            </w:pPr>
            <w:r>
              <w:t xml:space="preserve">Google Read Along</w:t>
            </w:r>
          </w:p>
        </w:tc>
        <w:tc>
          <w:tcPr/>
          <w:p>
            <w:pPr>
              <w:pStyle w:val="Compact"/>
            </w:pPr>
            <w:r>
              <w:t xml:space="preserve">Global</w:t>
            </w:r>
          </w:p>
        </w:tc>
        <w:tc>
          <w:tcPr/>
          <w:p>
            <w:pPr>
              <w:pStyle w:val="Compact"/>
            </w:pPr>
            <w:r>
              <w:t xml:space="preserve">Tutor de lectura en voz alta con reconocimiento de voz; incluye español</w:t>
            </w:r>
          </w:p>
        </w:tc>
        <w:tc>
          <w:tcPr/>
          <w:p>
            <w:pPr>
              <w:pStyle w:val="Compact"/>
            </w:pPr>
            <w:r>
              <w:t xml:space="preserve">Fluidez, no comprensión crítica</w:t>
            </w:r>
          </w:p>
        </w:tc>
      </w:tr>
      <w:tr>
        <w:tc>
          <w:tcPr/>
          <w:p>
            <w:pPr>
              <w:pStyle w:val="Compact"/>
            </w:pPr>
            <w:r>
              <w:t xml:space="preserve">Amira Learning</w:t>
            </w:r>
          </w:p>
        </w:tc>
        <w:tc>
          <w:tcPr/>
          <w:p>
            <w:pPr>
              <w:pStyle w:val="Compact"/>
            </w:pPr>
            <w:r>
              <w:t xml:space="preserve">EE. UU.</w:t>
            </w:r>
          </w:p>
        </w:tc>
        <w:tc>
          <w:tcPr/>
          <w:p>
            <w:pPr>
              <w:pStyle w:val="Compact"/>
            </w:pPr>
            <w:r>
              <w:t xml:space="preserve">Tutor que escucha leer; su sitio menciona español</w:t>
            </w:r>
          </w:p>
        </w:tc>
        <w:tc>
          <w:tcPr/>
          <w:p>
            <w:pPr>
              <w:pStyle w:val="Compact"/>
            </w:pPr>
            <w:r>
              <w:t xml:space="preserve">Referente funcional de la ruta 1</w:t>
            </w:r>
          </w:p>
        </w:tc>
      </w:tr>
      <w:tr>
        <w:tc>
          <w:tcPr/>
          <w:p>
            <w:pPr>
              <w:pStyle w:val="Compact"/>
            </w:pPr>
            <w:r>
              <w:t xml:space="preserve">CommonLit</w:t>
            </w:r>
          </w:p>
        </w:tc>
        <w:tc>
          <w:tcPr/>
          <w:p>
            <w:pPr>
              <w:pStyle w:val="Compact"/>
            </w:pPr>
            <w:r>
              <w:t xml:space="preserve">EE. UU.</w:t>
            </w:r>
          </w:p>
        </w:tc>
        <w:tc>
          <w:tcPr/>
          <w:p>
            <w:pPr>
              <w:pStyle w:val="Compact"/>
            </w:pPr>
            <w:r>
              <w:t xml:space="preserve">Biblioteca de textos con preguntas; su sitio menciona contenidos en español</w:t>
            </w:r>
          </w:p>
        </w:tc>
        <w:tc>
          <w:tcPr/>
          <w:p>
            <w:pPr>
              <w:pStyle w:val="Compact"/>
            </w:pPr>
            <w:r>
              <w:t xml:space="preserve">Banco de textos y preguntas, en un contexto ajeno al peruano</w:t>
            </w:r>
          </w:p>
        </w:tc>
      </w:tr>
      <w:tr>
        <w:tc>
          <w:tcPr/>
          <w:p>
            <w:pPr>
              <w:pStyle w:val="Compact"/>
            </w:pPr>
            <w:r>
              <w:t xml:space="preserve">Khanmigo</w:t>
            </w:r>
          </w:p>
        </w:tc>
        <w:tc>
          <w:tcPr/>
          <w:p>
            <w:pPr>
              <w:pStyle w:val="Compact"/>
            </w:pPr>
            <w:r>
              <w:t xml:space="preserve">EE. UU.</w:t>
            </w:r>
          </w:p>
        </w:tc>
        <w:tc>
          <w:tcPr/>
          <w:p>
            <w:pPr>
              <w:pStyle w:val="Compact"/>
            </w:pPr>
            <w:r>
              <w:t xml:space="preserve">Tutor con LLM</w:t>
            </w:r>
          </w:p>
        </w:tc>
        <w:tc>
          <w:tcPr/>
          <w:p>
            <w:pPr>
              <w:pStyle w:val="Compact"/>
            </w:pPr>
            <w:r>
              <w:t xml:space="preserve">Evidencia modesta (Oreopoulos y Low, 2026)</w:t>
            </w:r>
          </w:p>
        </w:tc>
      </w:tr>
      <w:tr>
        <w:tc>
          <w:tcPr/>
          <w:p>
            <w:pPr>
              <w:pStyle w:val="Compact"/>
            </w:pPr>
            <w:r>
              <w:t xml:space="preserve">PerúEduca</w:t>
            </w:r>
          </w:p>
        </w:tc>
        <w:tc>
          <w:tcPr/>
          <w:p>
            <w:pPr>
              <w:pStyle w:val="Compact"/>
            </w:pPr>
            <w:r>
              <w:t xml:space="preserve">Perú (Minedu)</w:t>
            </w:r>
          </w:p>
        </w:tc>
        <w:tc>
          <w:tcPr/>
          <w:p>
            <w:pPr>
              <w:pStyle w:val="Compact"/>
            </w:pPr>
            <w:r>
              <w:t xml:space="preserve">Plataforma oficial de recursos</w:t>
            </w:r>
          </w:p>
        </w:tc>
        <w:tc>
          <w:tcPr/>
          <w:p>
            <w:pPr>
              <w:pStyle w:val="Compact"/>
            </w:pPr>
            <w:r>
              <w:t xml:space="preserve">Canal de distribución oficial</w:t>
            </w:r>
          </w:p>
        </w:tc>
      </w:tr>
      <w:tr>
        <w:tc>
          <w:tcPr/>
          <w:p>
            <w:pPr>
              <w:pStyle w:val="Compact"/>
            </w:pPr>
            <w:r>
              <w:t xml:space="preserve">Lectobot</w:t>
            </w:r>
          </w:p>
        </w:tc>
        <w:tc>
          <w:tcPr/>
          <w:p>
            <w:pPr>
              <w:pStyle w:val="Compact"/>
            </w:pPr>
            <w:r>
              <w:t xml:space="preserve">México (investigación)</w:t>
            </w:r>
          </w:p>
        </w:tc>
        <w:tc>
          <w:tcPr/>
          <w:p>
            <w:pPr>
              <w:pStyle w:val="Compact"/>
            </w:pPr>
            <w:r>
              <w:t xml:space="preserve">Chatbot por niveles de comprensión</w:t>
            </w:r>
          </w:p>
        </w:tc>
        <w:tc>
          <w:tcPr/>
          <w:p>
            <w:pPr>
              <w:pStyle w:val="Compact"/>
            </w:pPr>
            <w:r>
              <w:t xml:space="preserve">Antecedente académico</w:t>
            </w:r>
          </w:p>
        </w:tc>
      </w:tr>
      <w:tr>
        <w:tc>
          <w:tcPr/>
          <w:p>
            <w:pPr>
              <w:pStyle w:val="Compact"/>
            </w:pPr>
            <w:r>
              <w:t xml:space="preserve">ChatGPT y asistentes generales</w:t>
            </w:r>
          </w:p>
        </w:tc>
        <w:tc>
          <w:tcPr/>
          <w:p>
            <w:pPr>
              <w:pStyle w:val="Compact"/>
            </w:pPr>
            <w:r>
              <w:t xml:space="preserve">Global</w:t>
            </w:r>
          </w:p>
        </w:tc>
        <w:tc>
          <w:tcPr/>
          <w:p>
            <w:pPr>
              <w:pStyle w:val="Compact"/>
            </w:pPr>
            <w:r>
              <w:t xml:space="preserve">Resumen y redacción</w:t>
            </w:r>
          </w:p>
        </w:tc>
        <w:tc>
          <w:tcPr/>
          <w:p>
            <w:pPr>
              <w:pStyle w:val="Compact"/>
            </w:pPr>
            <w:r>
              <w:t xml:space="preserve">Según PISA 2025, el 40 % de los peruanos los usa para</w:t>
            </w:r>
            <w:r>
              <w:t xml:space="preserve"> </w:t>
            </w:r>
            <w:r>
              <w:rPr>
                <w:b/>
                <w:bCs/>
              </w:rPr>
              <w:t xml:space="preserve">resumir</w:t>
            </w:r>
            <w:r>
              <w:t xml:space="preserve"> </w:t>
            </w:r>
            <w:r>
              <w:t xml:space="preserve">lo que debía leer: es el</w:t>
            </w:r>
            <w:r>
              <w:t xml:space="preserve"> </w:t>
            </w:r>
            <w:r>
              <w:t xml:space="preserve">“competidor”</w:t>
            </w:r>
            <w:r>
              <w:t xml:space="preserve"> </w:t>
            </w:r>
            <w:r>
              <w:t xml:space="preserve">real y el riesgo que hay que contrarrestar</w:t>
            </w:r>
          </w:p>
        </w:tc>
      </w:tr>
      <w:tr>
        <w:tc>
          <w:tcPr/>
          <w:p>
            <w:pPr>
              <w:pStyle w:val="Compact"/>
            </w:pPr>
            <w:r>
              <w:t xml:space="preserve">Uayki</w:t>
            </w:r>
          </w:p>
        </w:tc>
        <w:tc>
          <w:tcPr/>
          <w:p>
            <w:pPr>
              <w:pStyle w:val="Compact"/>
            </w:pPr>
            <w:r>
              <w:t xml:space="preserve">Perú</w:t>
            </w:r>
          </w:p>
        </w:tc>
        <w:tc>
          <w:tcPr/>
          <w:p>
            <w:pPr>
              <w:pStyle w:val="Compact"/>
            </w:pPr>
            <w:r>
              <w:t xml:space="preserve">Biblioteca digital offline</w:t>
            </w:r>
          </w:p>
        </w:tc>
        <w:tc>
          <w:tcPr/>
          <w:p>
            <w:pPr>
              <w:pStyle w:val="Compact"/>
            </w:pPr>
            <w:r>
              <w:t xml:space="preserve">Infraestructura (informe anterior)</w:t>
            </w:r>
          </w:p>
        </w:tc>
      </w:tr>
    </w:tbl>
    <w:p>
      <w:pPr>
        <w:pStyle w:val="BodyText"/>
      </w:pPr>
      <w:r>
        <w:rPr>
          <w:b/>
          <w:bCs/>
        </w:rPr>
        <w:t xml:space="preserve">Espacio en blanco en castellano (inferencia):</w:t>
      </w:r>
      <w:r>
        <w:t xml:space="preserve"> </w:t>
      </w:r>
      <w:r>
        <w:t xml:space="preserve">ninguna herramienta peruana o latinoamericana combina tres cosas: un diagnóstico oral rápido de fluidez, preguntas alineadas a las capacidades de la ENLA (obtiene, infiere, reflexiona) con un nivel crítico real y un diseño que obligue a producir antes de recibir ayuda. Beeverso y Read Along cubren partes; Lectobot es un piloto.</w:t>
      </w:r>
    </w:p>
    <w:p>
      <w:r>
        <w:pict>
          <v:rect style="width:0;height:1.5pt" o:hralign="center" o:hrstd="t" o:hr="t"/>
        </w:pict>
      </w:r>
    </w:p>
    <w:bookmarkEnd w:id="24"/>
    <w:bookmarkEnd w:id="25"/>
    <w:bookmarkStart w:id="26" w:name="X135bda4f529b77f60eff0873547ef7b9ca01bac"/>
    <w:p>
      <w:pPr>
        <w:pStyle w:val="Heading2"/>
      </w:pPr>
      <w:r>
        <w:t xml:space="preserve">8. Conexión con el marco de pensamiento crítico del equipo y con la hipótesis de Omar</w:t>
      </w:r>
    </w:p>
    <w:p>
      <w:pPr>
        <w:pStyle w:val="FirstParagraph"/>
      </w:pPr>
      <w:r>
        <w:rPr>
          <w:b/>
          <w:bCs/>
        </w:rPr>
        <w:t xml:space="preserve">Qué agrega la evidencia en castellano al veredicto del informe anterior (</w:t>
      </w:r>
      <w:r>
        <w:rPr>
          <w:b/>
          <w:bCs/>
        </w:rPr>
        <w:t xml:space="preserve">“parcialmente confirmada”</w:t>
      </w:r>
      <w:r>
        <w:rPr>
          <w:b/>
          <w:bCs/>
        </w:rPr>
        <w:t xml:space="preserve">):</w:t>
      </w:r>
    </w:p>
    <w:p>
      <w:pPr>
        <w:pStyle w:val="Compact"/>
        <w:numPr>
          <w:ilvl w:val="0"/>
          <w:numId w:val="1025"/>
        </w:numPr>
      </w:pPr>
      <w:r>
        <w:rPr>
          <w:b/>
          <w:bCs/>
        </w:rPr>
        <w:t xml:space="preserve">Las pruebas definen la lectura avanzada como pensamiento crítico.</w:t>
      </w:r>
    </w:p>
    <w:p>
      <w:pPr>
        <w:pStyle w:val="Compact"/>
        <w:numPr>
          <w:ilvl w:val="1"/>
          <w:numId w:val="1026"/>
        </w:numPr>
      </w:pPr>
      <w:r>
        <w:t xml:space="preserve">El nivel 5 de PISA exige</w:t>
      </w:r>
      <w:r>
        <w:t xml:space="preserve"> </w:t>
      </w:r>
      <w:r>
        <w:t xml:space="preserve">“distinguir hechos de opiniones a partir de pistas implícitas sobre el contenido o la fuente”</w:t>
      </w:r>
      <w:r>
        <w:t xml:space="preserve">.</w:t>
      </w:r>
    </w:p>
    <w:p>
      <w:pPr>
        <w:pStyle w:val="Compact"/>
        <w:numPr>
          <w:ilvl w:val="1"/>
          <w:numId w:val="1026"/>
        </w:numPr>
      </w:pPr>
      <w:r>
        <w:t xml:space="preserve">La capacidad</w:t>
      </w:r>
      <w:r>
        <w:t xml:space="preserve"> </w:t>
      </w:r>
      <w:r>
        <w:t xml:space="preserve">“Reflexiona y evalúa”</w:t>
      </w:r>
      <w:r>
        <w:t xml:space="preserve"> </w:t>
      </w:r>
      <w:r>
        <w:t xml:space="preserve">de la ENLA mide la evaluación de la forma, el contenido y el contexto.</w:t>
      </w:r>
    </w:p>
    <w:p>
      <w:pPr>
        <w:pStyle w:val="Compact"/>
        <w:numPr>
          <w:ilvl w:val="1"/>
          <w:numId w:val="1026"/>
        </w:numPr>
      </w:pPr>
      <w:r>
        <w:t xml:space="preserve">El ERCE mide la comprensión crítica.</w:t>
      </w:r>
    </w:p>
    <w:p>
      <w:pPr>
        <w:pStyle w:val="Compact"/>
        <w:numPr>
          <w:ilvl w:val="1"/>
          <w:numId w:val="1026"/>
        </w:numPr>
      </w:pPr>
      <w:r>
        <w:t xml:space="preserve">Por eso, en los datos,</w:t>
      </w:r>
      <w:r>
        <w:t xml:space="preserve"> </w:t>
      </w:r>
      <w:r>
        <w:rPr>
          <w:b/>
          <w:bCs/>
        </w:rPr>
        <w:t xml:space="preserve">la comprensión lectora avanzada y el pensamiento crítico aplicado a textos son casi la misma cosa</w:t>
      </w:r>
      <w:r>
        <w:t xml:space="preserve">. La hipótesis se cumple casi por definición en ese tramo.</w:t>
      </w:r>
    </w:p>
    <w:p>
      <w:pPr>
        <w:pStyle w:val="Compact"/>
        <w:numPr>
          <w:ilvl w:val="0"/>
          <w:numId w:val="1025"/>
        </w:numPr>
      </w:pPr>
      <w:r>
        <w:rPr>
          <w:b/>
          <w:bCs/>
        </w:rPr>
        <w:t xml:space="preserve">El fallo peruano está justamente en ese tramo.</w:t>
      </w:r>
      <w:r>
        <w:t xml:space="preserve"> </w:t>
      </w:r>
      <w:r>
        <w:t xml:space="preserve">Casi nadie llega al nivel 5 de PISA; en 5.° de secundaria solo el 11,3 % está en el nivel Satisfactorio, con dificultades para distinguir hechos de opiniones y evaluar la confiabilidad. Los escolares de Lima no distinguen noticias falsas de verdaderas.</w:t>
      </w:r>
    </w:p>
    <w:p>
      <w:pPr>
        <w:pStyle w:val="Compact"/>
        <w:numPr>
          <w:ilvl w:val="0"/>
          <w:numId w:val="1025"/>
        </w:numPr>
      </w:pPr>
      <w:r>
        <w:rPr>
          <w:b/>
          <w:bCs/>
        </w:rPr>
        <w:t xml:space="preserve">Pero el cuello de botella cambia con la edad.</w:t>
      </w:r>
      <w:r>
        <w:t xml:space="preserve"> </w:t>
      </w:r>
      <w:r>
        <w:t xml:space="preserve">En los primeros grados en castellano, la decodificación automática y el vocabulario explican la mayor parte de la comprensión (Sánchez-Vincitore et al., 2022; Claro et al., 2025). Sin esa base, no hay recursos cognitivos para inferir ni evaluar. La comprensión es</w:t>
      </w:r>
      <w:r>
        <w:t xml:space="preserve"> </w:t>
      </w:r>
      <w:r>
        <w:rPr>
          <w:b/>
          <w:bCs/>
        </w:rPr>
        <w:t xml:space="preserve">fundacional en sentido literal</w:t>
      </w:r>
      <w:r>
        <w:t xml:space="preserve">: es una capa sobre la que se construye.</w:t>
      </w:r>
    </w:p>
    <w:p>
      <w:pPr>
        <w:pStyle w:val="Compact"/>
        <w:numPr>
          <w:ilvl w:val="0"/>
          <w:numId w:val="1025"/>
        </w:numPr>
      </w:pPr>
      <w:r>
        <w:rPr>
          <w:b/>
          <w:bCs/>
        </w:rPr>
        <w:t xml:space="preserve">La IA cambia el problema.</w:t>
      </w:r>
      <w:r>
        <w:t xml:space="preserve"> </w:t>
      </w:r>
      <w:r>
        <w:t xml:space="preserve">La mitad de los estudiantes peruanos ya delega en la IA la lectura, el resumen y la redacción. La OCDE asocia ese uso sustitutivo con peor desempeño, y los universitarios peruanos describen la</w:t>
      </w:r>
      <w:r>
        <w:t xml:space="preserve"> </w:t>
      </w:r>
      <w:r>
        <w:t xml:space="preserve">“delegación cognitiva”</w:t>
      </w:r>
      <w:r>
        <w:t xml:space="preserve">. El riesgo nuevo no es solo no comprender, sino</w:t>
      </w:r>
      <w:r>
        <w:t xml:space="preserve"> </w:t>
      </w:r>
      <w:r>
        <w:rPr>
          <w:b/>
          <w:bCs/>
        </w:rPr>
        <w:t xml:space="preserve">no tener que comprender</w:t>
      </w:r>
      <w:r>
        <w:t xml:space="preserve">. Esto refuerza el enfoque de D3: IA con salvaguardas, que pregunte en vez de responder.</w:t>
      </w:r>
    </w:p>
    <w:p>
      <w:pPr>
        <w:pStyle w:val="Compact"/>
        <w:numPr>
          <w:ilvl w:val="0"/>
          <w:numId w:val="1025"/>
        </w:numPr>
      </w:pPr>
      <w:r>
        <w:rPr>
          <w:b/>
          <w:bCs/>
        </w:rPr>
        <w:t xml:space="preserve">Matices que se mantienen.</w:t>
      </w:r>
    </w:p>
    <w:p>
      <w:pPr>
        <w:pStyle w:val="Compact"/>
        <w:numPr>
          <w:ilvl w:val="1"/>
          <w:numId w:val="1027"/>
        </w:numPr>
      </w:pPr>
      <w:r>
        <w:t xml:space="preserve">La evidencia peruana que vincula la comprensión con el pensamiento crítico es mayormente correlacional y de autorreporte.</w:t>
      </w:r>
    </w:p>
    <w:p>
      <w:pPr>
        <w:pStyle w:val="Compact"/>
        <w:numPr>
          <w:ilvl w:val="1"/>
          <w:numId w:val="1027"/>
        </w:numPr>
      </w:pPr>
      <w:r>
        <w:t xml:space="preserve">El vocabulario, el conocimiento previo, la metacognición y la autorregulación median la relación.</w:t>
      </w:r>
    </w:p>
    <w:p>
      <w:pPr>
        <w:pStyle w:val="Compact"/>
        <w:numPr>
          <w:ilvl w:val="1"/>
          <w:numId w:val="1027"/>
        </w:numPr>
      </w:pPr>
      <w:r>
        <w:t xml:space="preserve">El pensamiento crítico también se entrena con argumentación oral y conflicto sociocognitivo (Peralta et al., 2023).</w:t>
      </w:r>
    </w:p>
    <w:p>
      <w:pPr>
        <w:pStyle w:val="FirstParagraph"/>
      </w:pPr>
      <w:r>
        <w:rPr>
          <w:b/>
          <w:bCs/>
        </w:rPr>
        <w:t xml:space="preserve">Veredicto actualizado: CONFIRMADA CON MATICES.</w:t>
      </w:r>
      <w:r>
        <w:t xml:space="preserve"> </w:t>
      </w:r>
      <w:r>
        <w:t xml:space="preserve">El componente</w:t>
      </w:r>
      <w:r>
        <w:t xml:space="preserve"> </w:t>
      </w:r>
      <w:r>
        <w:t xml:space="preserve">“fundacional”</w:t>
      </w:r>
      <w:r>
        <w:t xml:space="preserve"> </w:t>
      </w:r>
      <w:r>
        <w:t xml:space="preserve">está más respaldado en castellano que en el contexto EIB.</w:t>
      </w:r>
    </w:p>
    <w:p>
      <w:pPr>
        <w:pStyle w:val="BodyText"/>
      </w:pPr>
      <w:r>
        <w:rPr>
          <w:b/>
          <w:bCs/>
        </w:rPr>
        <w:t xml:space="preserve">Formulación sugerida para el pitch:</w:t>
      </w:r>
      <w:r>
        <w:t xml:space="preserve"> </w:t>
      </w:r>
      <w:r>
        <w:t xml:space="preserve">&gt;</w:t>
      </w:r>
      <w:r>
        <w:t xml:space="preserve"> </w:t>
      </w:r>
      <w:r>
        <w:t xml:space="preserve">“En el Perú, solo 1 de cada 9 estudiantes termina el colegio comprendiendo bien lo que lee, y casi ninguno sabe distinguir un hecho de una opinión en un texto (PISA 2025). Hoy, además, la mitad le pide a la IA que lea por ellos. Sin comprensión no hay pensamiento crítico: construimos la herramienta que obliga a pensar con el texto, en castellano y en quechua.”</w:t>
      </w:r>
    </w:p>
    <w:bookmarkEnd w:id="26"/>
    <w:bookmarkStart w:id="27" w:name="X8c0a26d933d18b791d1a741afac3ce7fc6a3b40"/>
    <w:p>
      <w:pPr>
        <w:pStyle w:val="Heading2"/>
      </w:pPr>
      <w:r>
        <w:t xml:space="preserve">9. Implicancias para el hackathon (puente hacia la fase 2)</w:t>
      </w:r>
    </w:p>
    <w:p>
      <w:pPr>
        <w:pStyle w:val="Compact"/>
        <w:numPr>
          <w:ilvl w:val="0"/>
          <w:numId w:val="1028"/>
        </w:numPr>
      </w:pPr>
      <w:r>
        <w:rPr>
          <w:b/>
          <w:bCs/>
        </w:rPr>
        <w:t xml:space="preserve">Mercado y escala en castellano.</w:t>
      </w:r>
      <w:r>
        <w:t xml:space="preserve"> </w:t>
      </w:r>
      <w:r>
        <w:t xml:space="preserve">Unos 530 000 estudiantes de 4.° de primaria rinden la ENLA censal (2024), y la secundaria es la etapa crítica. Una herramienta en castellano tiene escala nacional; el quechua chanka aporta diferenciación y la demo de Omar.</w:t>
      </w:r>
    </w:p>
    <w:p>
      <w:pPr>
        <w:pStyle w:val="Compact"/>
        <w:numPr>
          <w:ilvl w:val="0"/>
          <w:numId w:val="1028"/>
        </w:numPr>
      </w:pPr>
      <w:r>
        <w:rPr>
          <w:b/>
          <w:bCs/>
        </w:rPr>
        <w:t xml:space="preserve">Diagnóstico por eslabón.</w:t>
      </w:r>
      <w:r>
        <w:t xml:space="preserve"> </w:t>
      </w:r>
      <w:r>
        <w:t xml:space="preserve">Fluidez y vocabulario en primaria; inferencia, evaluación de fuentes y argumentación en secundaria y en la universidad.</w:t>
      </w:r>
    </w:p>
    <w:p>
      <w:pPr>
        <w:pStyle w:val="Compact"/>
        <w:numPr>
          <w:ilvl w:val="0"/>
          <w:numId w:val="1028"/>
        </w:numPr>
      </w:pPr>
      <w:r>
        <w:rPr>
          <w:b/>
          <w:bCs/>
        </w:rPr>
        <w:t xml:space="preserve">Canal con evidencia.</w:t>
      </w:r>
      <w:r>
        <w:t xml:space="preserve"> </w:t>
      </w:r>
      <w:r>
        <w:t xml:space="preserve">La tutoría telefónica en lenguaje en castellano (Paraguay) ya tiene evidencia experimental.</w:t>
      </w:r>
    </w:p>
    <w:p>
      <w:pPr>
        <w:pStyle w:val="Compact"/>
        <w:numPr>
          <w:ilvl w:val="0"/>
          <w:numId w:val="1028"/>
        </w:numPr>
      </w:pPr>
      <w:r>
        <w:rPr>
          <w:b/>
          <w:bCs/>
        </w:rPr>
        <w:t xml:space="preserve">Diseño</w:t>
      </w:r>
      <w:r>
        <w:rPr>
          <w:b/>
          <w:bCs/>
        </w:rPr>
        <w:t xml:space="preserve"> </w:t>
      </w:r>
      <w:r>
        <w:rPr>
          <w:b/>
          <w:bCs/>
        </w:rPr>
        <w:t xml:space="preserve">“anti-delegación”</w:t>
      </w:r>
      <w:r>
        <w:rPr>
          <w:b/>
          <w:bCs/>
        </w:rPr>
        <w:t xml:space="preserve">.</w:t>
      </w:r>
      <w:r>
        <w:t xml:space="preserve"> </w:t>
      </w:r>
      <w:r>
        <w:t xml:space="preserve">Es la propuesta de valor frente a ChatGPT, que el 40 % de los estudiantes peruanos usa para resumir.</w:t>
      </w:r>
    </w:p>
    <w:bookmarkEnd w:id="27"/>
    <w:bookmarkStart w:id="28" w:name="X8bdda3ed9af3130c73eecbad1d3fe367f600803"/>
    <w:p>
      <w:pPr>
        <w:pStyle w:val="Heading2"/>
      </w:pPr>
      <w:r>
        <w:t xml:space="preserve">10. Limitaciones y verificación manual pendiente</w:t>
      </w:r>
    </w:p>
    <w:p>
      <w:pPr>
        <w:pStyle w:val="Compact"/>
        <w:numPr>
          <w:ilvl w:val="0"/>
          <w:numId w:val="1029"/>
        </w:numPr>
      </w:pPr>
      <w:r>
        <w:rPr>
          <w:b/>
          <w:bCs/>
        </w:rPr>
        <w:t xml:space="preserve">ENLA 2025 por estrato</w:t>
      </w:r>
      <w:r>
        <w:t xml:space="preserve"> </w:t>
      </w:r>
      <w:r>
        <w:t xml:space="preserve">(privado frente a público, urbano frente a rural, NSE) y el 18,5 % y 11,3 % de secundaria: provienen de un blog que cita a la UMC y de síntesis del buscador. Hay que confirmarlos en la presentación nacional y el informe pedagógico de la UMC, cuyos PDF no se pudieron descargar.</w:t>
      </w:r>
    </w:p>
    <w:p>
      <w:pPr>
        <w:pStyle w:val="Compact"/>
        <w:numPr>
          <w:ilvl w:val="0"/>
          <w:numId w:val="1029"/>
        </w:numPr>
      </w:pPr>
      <w:r>
        <w:rPr>
          <w:b/>
          <w:bCs/>
        </w:rPr>
        <w:t xml:space="preserve">Distribución de niveles en 4.° de primaria (ENLA 2025):</w:t>
      </w:r>
      <w:r>
        <w:t xml:space="preserve"> </w:t>
      </w:r>
      <w:r>
        <w:t xml:space="preserve">el orden de los porcentajes es una inferencia.</w:t>
      </w:r>
    </w:p>
    <w:p>
      <w:pPr>
        <w:pStyle w:val="Compact"/>
        <w:numPr>
          <w:ilvl w:val="0"/>
          <w:numId w:val="1029"/>
        </w:numPr>
      </w:pPr>
      <w:r>
        <w:rPr>
          <w:b/>
          <w:bCs/>
        </w:rPr>
        <w:t xml:space="preserve">Pobreza de aprendizaje del Perú (44 %, brief 2024):</w:t>
      </w:r>
      <w:r>
        <w:t xml:space="preserve"> </w:t>
      </w:r>
      <w:r>
        <w:t xml:space="preserve">no se pudo abrir el PDF.</w:t>
      </w:r>
    </w:p>
    <w:p>
      <w:pPr>
        <w:pStyle w:val="Compact"/>
        <w:numPr>
          <w:ilvl w:val="0"/>
          <w:numId w:val="1029"/>
        </w:numPr>
      </w:pPr>
      <w:r>
        <w:rPr>
          <w:b/>
          <w:bCs/>
        </w:rPr>
        <w:t xml:space="preserve">Puntaje de España en PISA 2025:</w:t>
      </w:r>
      <w:r>
        <w:t xml:space="preserve"> </w:t>
      </w:r>
      <w:r>
        <w:t xml:space="preserve">solo se verificó el cambio de −23 puntos.</w:t>
      </w:r>
    </w:p>
    <w:p>
      <w:pPr>
        <w:pStyle w:val="Compact"/>
        <w:numPr>
          <w:ilvl w:val="0"/>
          <w:numId w:val="1029"/>
        </w:numPr>
      </w:pPr>
      <w:r>
        <w:rPr>
          <w:b/>
          <w:bCs/>
        </w:rPr>
        <w:t xml:space="preserve">Cambios por país en PISA 2025:</w:t>
      </w:r>
      <w:r>
        <w:t xml:space="preserve"> </w:t>
      </w:r>
      <w:r>
        <w:t xml:space="preserve">vienen de BBC Mundo; los puntajes vienen del BID.</w:t>
      </w:r>
    </w:p>
    <w:p>
      <w:pPr>
        <w:pStyle w:val="Compact"/>
        <w:numPr>
          <w:ilvl w:val="0"/>
          <w:numId w:val="1029"/>
        </w:numPr>
      </w:pPr>
      <w:r>
        <w:rPr>
          <w:b/>
          <w:bCs/>
        </w:rPr>
        <w:t xml:space="preserve">Muchos estudios peruanos</w:t>
      </w:r>
      <w:r>
        <w:t xml:space="preserve"> </w:t>
      </w:r>
      <w:r>
        <w:t xml:space="preserve">son de baja calidad metodológica: se marcaron como</w:t>
      </w:r>
      <w:r>
        <w:t xml:space="preserve"> </w:t>
      </w:r>
      <w:r>
        <w:t xml:space="preserve">“(débil)”</w:t>
      </w:r>
      <w:r>
        <w:t xml:space="preserve">.</w:t>
      </w:r>
    </w:p>
    <w:bookmarkEnd w:id="28"/>
    <w:bookmarkStart w:id="29" w:name="referencias-clave-datos"/>
    <w:p>
      <w:pPr>
        <w:pStyle w:val="Heading2"/>
      </w:pPr>
      <w:r>
        <w:t xml:space="preserve">11. Referencias clave (datos)</w:t>
      </w:r>
    </w:p>
    <w:p>
      <w:pPr>
        <w:pStyle w:val="Compact"/>
        <w:numPr>
          <w:ilvl w:val="0"/>
          <w:numId w:val="1030"/>
        </w:numPr>
      </w:pPr>
      <w:r>
        <w:t xml:space="preserve">OCDE (2026).</w:t>
      </w:r>
      <w:r>
        <w:t xml:space="preserve"> </w:t>
      </w:r>
      <w:r>
        <w:rPr>
          <w:i/>
          <w:iCs/>
        </w:rPr>
        <w:t xml:space="preserve">PISA 2025 Results (Volume I): Peru</w:t>
      </w:r>
      <w:r>
        <w:t xml:space="preserve"> </w:t>
      </w:r>
      <w:r>
        <w:t xml:space="preserve">(nota país). https://www.oecd.org/en/publications/pisa-2025-results-volume-i-country-notes_2d4ff9ea-en/peru_0c319189-en.html ; informe completo: https://doi.org/10.1787/73451bc5-en</w:t>
      </w:r>
    </w:p>
    <w:p>
      <w:pPr>
        <w:pStyle w:val="Compact"/>
        <w:numPr>
          <w:ilvl w:val="0"/>
          <w:numId w:val="1030"/>
        </w:numPr>
      </w:pPr>
      <w:r>
        <w:t xml:space="preserve">BID (2026).</w:t>
      </w:r>
      <w:r>
        <w:t xml:space="preserve"> </w:t>
      </w:r>
      <w:r>
        <w:rPr>
          <w:i/>
          <w:iCs/>
        </w:rPr>
        <w:t xml:space="preserve">PISA en América Latina y el Caribe 2025</w:t>
      </w:r>
      <w:r>
        <w:t xml:space="preserve">. https://publications.iadb.org/publications/spanish/document/PISA-en-America-Latina-y-el-Caribe-2025-Como-le-fue-a-la-Region.pdf</w:t>
      </w:r>
    </w:p>
    <w:p>
      <w:pPr>
        <w:pStyle w:val="Compact"/>
        <w:numPr>
          <w:ilvl w:val="0"/>
          <w:numId w:val="1030"/>
        </w:numPr>
      </w:pPr>
      <w:r>
        <w:t xml:space="preserve">BBC Mundo (8 de septiembre de 2026). Resultados de PISA en España y América Latina. https://www.bbc.com/mundo/articles/c1kx8d94422o</w:t>
      </w:r>
    </w:p>
    <w:p>
      <w:pPr>
        <w:pStyle w:val="Compact"/>
        <w:numPr>
          <w:ilvl w:val="0"/>
          <w:numId w:val="1030"/>
        </w:numPr>
      </w:pPr>
      <w:r>
        <w:t xml:space="preserve">Argentinos por la Educación (2026). Resultados de PISA 2025 en América Latina. https://argentinosporlaeducacion.org/wp-content/uploads/2026/09/LATAM_Resultados_PISA25.pdf</w:t>
      </w:r>
    </w:p>
    <w:p>
      <w:pPr>
        <w:pStyle w:val="Compact"/>
        <w:numPr>
          <w:ilvl w:val="0"/>
          <w:numId w:val="1030"/>
        </w:numPr>
      </w:pPr>
      <w:r>
        <w:t xml:space="preserve">Minedu (2026). Nota sobre la ENLA 2025. https://www.gob.pe/institucion/minedu/noticias/1390772</w:t>
      </w:r>
    </w:p>
    <w:p>
      <w:pPr>
        <w:pStyle w:val="Compact"/>
        <w:numPr>
          <w:ilvl w:val="0"/>
          <w:numId w:val="1030"/>
        </w:numPr>
      </w:pPr>
      <w:r>
        <w:t xml:space="preserve">UMC. Infografía de resultados de primaria ENLA 2025: http://umc.minedu.gob.pe/wp-content/uploads/2026/04/Resultados-ENLA-2025-Primaria.pdf ; presentación de resultados nacionales: http://umc.minedu.gob.pe/wp-content/uploads/2026/05/Presentacion-de-logros-de-aprendizaje-ENLA-2025.pdf ; informe pedagógico de 5.° de secundaria: http://umc.minedu.gob.pe/wp-content/uploads/2026/06/Informe_Pedagogico_5S_ENLA2025_Lectura.pdf ; repositorio: https://repositorio.minedu.gob.pe/handle/20.500.12799/12774</w:t>
      </w:r>
    </w:p>
    <w:p>
      <w:pPr>
        <w:pStyle w:val="Compact"/>
        <w:numPr>
          <w:ilvl w:val="0"/>
          <w:numId w:val="1030"/>
        </w:numPr>
      </w:pPr>
      <w:r>
        <w:t xml:space="preserve">UMC (2025). Nota sobre la ENLA 2024. http://umc.minedu.gob.pe/enla-2024-532-000-escolares-de-4-o-grado-de-primaria-muestran-recuperacion-en-lectura-y-matematica/</w:t>
      </w:r>
    </w:p>
    <w:p>
      <w:pPr>
        <w:pStyle w:val="Compact"/>
        <w:numPr>
          <w:ilvl w:val="0"/>
          <w:numId w:val="1030"/>
        </w:numPr>
      </w:pPr>
      <w:r>
        <w:t xml:space="preserve">Minedu (2023). Nota sobre la EM 2022. https://www.gob.pe/institucion/minedu/noticias/737725</w:t>
      </w:r>
    </w:p>
    <w:p>
      <w:pPr>
        <w:pStyle w:val="Compact"/>
        <w:numPr>
          <w:ilvl w:val="0"/>
          <w:numId w:val="1030"/>
        </w:numPr>
      </w:pPr>
      <w:r>
        <w:t xml:space="preserve">Llanos Masciotti, F. (2023).</w:t>
      </w:r>
      <w:r>
        <w:t xml:space="preserve"> </w:t>
      </w:r>
      <w:r>
        <w:t xml:space="preserve">“Resultados de la Evaluación Muestral 2022”</w:t>
      </w:r>
      <w:r>
        <w:t xml:space="preserve">.</w:t>
      </w:r>
      <w:r>
        <w:t xml:space="preserve"> </w:t>
      </w:r>
      <w:r>
        <w:rPr>
          <w:i/>
          <w:iCs/>
        </w:rPr>
        <w:t xml:space="preserve">Educacción</w:t>
      </w:r>
      <w:r>
        <w:t xml:space="preserve">. https://institutoeducaccion.org/resultados-de-la-evaluacion-muestral-2022-aproximaciones-desconciertos-y-certezas/</w:t>
      </w:r>
    </w:p>
    <w:p>
      <w:pPr>
        <w:pStyle w:val="Compact"/>
        <w:numPr>
          <w:ilvl w:val="0"/>
          <w:numId w:val="1030"/>
        </w:numPr>
      </w:pPr>
      <w:r>
        <w:t xml:space="preserve">Tapia Montesinos, M. M. (2026).</w:t>
      </w:r>
      <w:r>
        <w:t xml:space="preserve"> </w:t>
      </w:r>
      <w:r>
        <w:t xml:space="preserve">“Algunas reflexiones sobre los últimos resultados: ENLA 2025”</w:t>
      </w:r>
      <w:r>
        <w:t xml:space="preserve">. https://delaevidenciaalaula.wordpress.com/2026/05/18/algunas-reflexiones-sobre-los-ultimos-resultados-enla-2025/</w:t>
      </w:r>
    </w:p>
    <w:p>
      <w:pPr>
        <w:pStyle w:val="Compact"/>
        <w:numPr>
          <w:ilvl w:val="0"/>
          <w:numId w:val="1030"/>
        </w:numPr>
      </w:pPr>
      <w:r>
        <w:t xml:space="preserve">UNESCO-LLECE (2021). ERCE 2019, informe regional. http://umc.minedu.gob.pe/wp-content/uploads/2022/02/Informe-regional.pdf</w:t>
      </w:r>
    </w:p>
    <w:p>
      <w:pPr>
        <w:pStyle w:val="Compact"/>
        <w:numPr>
          <w:ilvl w:val="0"/>
          <w:numId w:val="1030"/>
        </w:numPr>
      </w:pPr>
      <w:r>
        <w:t xml:space="preserve">Banco Mundial y UNICEF (2022). Nota de prensa sobre la pobreza de aprendizaje en América Latina. https://www.bancomundial.org/es/news/press-release/2022/06/23/education-latin-america ; Global Education Policy Dashboard, Perú: https://www.educationpolicydashboard.org/indicator_timetrend/per/44/44 ; brief Perú 2024: https://documents.worldbank.org/en/publication/documents-reports/documentdetail/099060124164539924</w:t>
      </w:r>
    </w:p>
    <w:p>
      <w:pPr>
        <w:pStyle w:val="Compact"/>
        <w:numPr>
          <w:ilvl w:val="0"/>
          <w:numId w:val="1030"/>
        </w:numPr>
      </w:pPr>
      <w:r>
        <w:t xml:space="preserve">OCDE (2023).</w:t>
      </w:r>
      <w:r>
        <w:t xml:space="preserve"> </w:t>
      </w:r>
      <w:r>
        <w:rPr>
          <w:i/>
          <w:iCs/>
        </w:rPr>
        <w:t xml:space="preserve">Skills in Latin America: Results from PIAAC</w:t>
      </w:r>
      <w:r>
        <w:t xml:space="preserve">. https://doi.org/10.1787/f7fadd64-en</w:t>
      </w:r>
    </w:p>
    <w:p>
      <w:pPr>
        <w:pStyle w:val="Compact"/>
        <w:numPr>
          <w:ilvl w:val="0"/>
          <w:numId w:val="1030"/>
        </w:numPr>
      </w:pPr>
      <w:r>
        <w:t xml:space="preserve">Los artículos están en la sección 6, con su DOI.</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2026-10-17T22:25:51Z</dcterms:created>
  <dcterms:modified xsi:type="dcterms:W3CDTF">2026-10-17T22:25:51Z</dcterms:modified>
</cp:coreProperties>
</file>

<file path=docProps/custom.xml><?xml version="1.0" encoding="utf-8"?>
<Properties xmlns="http://schemas.openxmlformats.org/officeDocument/2006/custom-properties" xmlns:vt="http://schemas.openxmlformats.org/officeDocument/2006/docPropsVTypes"/>
</file>