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ffff00"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KfDuPPY/mbWTj7QYhjd3Sk+OQ==">CgMxLjAyCGguZ2pkZ3hzOAByITFFQ3UwUTUwaTZLSGJtbGZCUDhnVzZlTC1oUnZkNnVpTg==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