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SADARA PLATFORM</w:t>
      </w:r>
    </w:p>
    <w:p>
      <w:pPr>
        <w:jc w:val="center"/>
      </w:pPr>
      <w:r>
        <w:rPr>
          <w:b/>
          <w:color w:val="17375E"/>
          <w:sz w:val="48"/>
        </w:rPr>
        <w:t>Business Requirements Document (BRD)</w:t>
      </w:r>
    </w:p>
    <w:p>
      <w:pPr>
        <w:jc w:val="center"/>
      </w:pPr>
      <w:r>
        <w:rPr>
          <w:color w:val="595959"/>
          <w:sz w:val="22"/>
        </w:rPr>
        <w:t>Sadara Sports Agency - Player Management Platform</w:t>
      </w:r>
    </w:p>
    <w:p>
      <w:pPr>
        <w:jc w:val="center"/>
      </w:pPr>
      <w:r>
        <w:rPr>
          <w:sz w:val="20"/>
        </w:rPr>
        <w:br/>
        <w:t>Version 1.0 | Requirements Baseline | 28 September 2026</w:t>
      </w:r>
    </w:p>
    <w:p>
      <w:pPr>
        <w:jc w:val="center"/>
      </w:pPr>
      <w:r>
        <w:rPr>
          <w:i/>
          <w:color w:val="595959"/>
        </w:rPr>
        <w:t>Status: Draft for stakeholder validation and architecture sign-off</w:t>
      </w:r>
    </w:p>
    <w:p>
      <w:r>
        <w:br w:type="page"/>
      </w:r>
    </w:p>
    <w:p>
      <w:pPr>
        <w:pStyle w:val="Heading1"/>
      </w:pPr>
      <w:r>
        <w:t>0. 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75E"/>
            <w:tcMar>
              <w:top w:w="80" w:type="dxa"/>
              <w:start w:w="80" w:type="dxa"/>
              <w:bottom w:w="80" w:type="dxa"/>
              <w:end w:w="80" w:type="dxa"/>
            </w:tcMar>
            <w:vAlign w:val="center"/>
          </w:tcPr>
          <w:p>
            <w:r>
              <w:rPr>
                <w:b/>
                <w:color w:val="FFFFFF"/>
                <w:sz w:val="17"/>
              </w:rPr>
              <w:t>Field</w:t>
            </w:r>
          </w:p>
        </w:tc>
        <w:tc>
          <w:tcPr>
            <w:tcW w:type="dxa" w:w="7992"/>
            <w:shd w:fill="17375E"/>
            <w:tcMar>
              <w:top w:w="80" w:type="dxa"/>
              <w:start w:w="80" w:type="dxa"/>
              <w:bottom w:w="80" w:type="dxa"/>
              <w:end w:w="80" w:type="dxa"/>
            </w:tcMar>
            <w:vAlign w:val="center"/>
          </w:tcPr>
          <w:p>
            <w:r>
              <w:rPr>
                <w:b/>
                <w:color w:val="FFFFFF"/>
                <w:sz w:val="17"/>
              </w:rPr>
              <w:t>Value</w:t>
            </w:r>
          </w:p>
        </w:tc>
      </w:tr>
      <w:tr>
        <w:tc>
          <w:tcPr>
            <w:tcW w:type="dxa" w:w="2232"/>
            <w:tcMar>
              <w:top w:w="80" w:type="dxa"/>
              <w:start w:w="80" w:type="dxa"/>
              <w:bottom w:w="80" w:type="dxa"/>
              <w:end w:w="80" w:type="dxa"/>
            </w:tcMar>
            <w:vAlign w:val="top"/>
          </w:tcPr>
          <w:p>
            <w:pPr>
              <w:spacing w:after="0"/>
            </w:pPr>
            <w:r>
              <w:rPr>
                <w:sz w:val="16"/>
              </w:rPr>
              <w:t>Document</w:t>
            </w:r>
          </w:p>
        </w:tc>
        <w:tc>
          <w:tcPr>
            <w:tcW w:type="dxa" w:w="7992"/>
            <w:tcMar>
              <w:top w:w="80" w:type="dxa"/>
              <w:start w:w="80" w:type="dxa"/>
              <w:bottom w:w="80" w:type="dxa"/>
              <w:end w:w="80" w:type="dxa"/>
            </w:tcMar>
            <w:vAlign w:val="top"/>
          </w:tcPr>
          <w:p>
            <w:pPr>
              <w:spacing w:after="0"/>
            </w:pPr>
            <w:r>
              <w:rPr>
                <w:sz w:val="16"/>
              </w:rPr>
              <w:t>Sadara Platform - Business Requirements Document (BRD)</w:t>
            </w:r>
          </w:p>
        </w:tc>
      </w:tr>
      <w:tr>
        <w:tc>
          <w:tcPr>
            <w:tcW w:type="dxa" w:w="2232"/>
            <w:tcMar>
              <w:top w:w="80" w:type="dxa"/>
              <w:start w:w="80" w:type="dxa"/>
              <w:bottom w:w="80" w:type="dxa"/>
              <w:end w:w="80" w:type="dxa"/>
            </w:tcMar>
            <w:vAlign w:val="top"/>
          </w:tcPr>
          <w:p>
            <w:pPr>
              <w:spacing w:after="0"/>
            </w:pPr>
            <w:r>
              <w:rPr>
                <w:sz w:val="16"/>
              </w:rPr>
              <w:t>Version</w:t>
            </w:r>
          </w:p>
        </w:tc>
        <w:tc>
          <w:tcPr>
            <w:tcW w:type="dxa" w:w="7992"/>
            <w:tcMar>
              <w:top w:w="80" w:type="dxa"/>
              <w:start w:w="80" w:type="dxa"/>
              <w:bottom w:w="80" w:type="dxa"/>
              <w:end w:w="80" w:type="dxa"/>
            </w:tcMar>
            <w:vAlign w:val="top"/>
          </w:tcPr>
          <w:p>
            <w:pPr>
              <w:spacing w:after="0"/>
            </w:pPr>
            <w:r>
              <w:rPr>
                <w:sz w:val="16"/>
              </w:rPr>
              <w:t>1.0</w:t>
            </w:r>
          </w:p>
        </w:tc>
      </w:tr>
      <w:tr>
        <w:tc>
          <w:tcPr>
            <w:tcW w:type="dxa" w:w="2232"/>
            <w:tcMar>
              <w:top w:w="80" w:type="dxa"/>
              <w:start w:w="80" w:type="dxa"/>
              <w:bottom w:w="80" w:type="dxa"/>
              <w:end w:w="80" w:type="dxa"/>
            </w:tcMar>
            <w:vAlign w:val="top"/>
          </w:tcPr>
          <w:p>
            <w:pPr>
              <w:spacing w:after="0"/>
            </w:pPr>
            <w:r>
              <w:rPr>
                <w:sz w:val="16"/>
              </w:rPr>
              <w:t>Date</w:t>
            </w:r>
          </w:p>
        </w:tc>
        <w:tc>
          <w:tcPr>
            <w:tcW w:type="dxa" w:w="7992"/>
            <w:tcMar>
              <w:top w:w="80" w:type="dxa"/>
              <w:start w:w="80" w:type="dxa"/>
              <w:bottom w:w="80" w:type="dxa"/>
              <w:end w:w="80" w:type="dxa"/>
            </w:tcMar>
            <w:vAlign w:val="top"/>
          </w:tcPr>
          <w:p>
            <w:pPr>
              <w:spacing w:after="0"/>
            </w:pPr>
            <w:r>
              <w:rPr>
                <w:sz w:val="16"/>
              </w:rPr>
              <w:t>28 September 2026</w:t>
            </w:r>
          </w:p>
        </w:tc>
      </w:tr>
      <w:tr>
        <w:tc>
          <w:tcPr>
            <w:tcW w:type="dxa" w:w="2232"/>
            <w:tcMar>
              <w:top w:w="80" w:type="dxa"/>
              <w:start w:w="80" w:type="dxa"/>
              <w:bottom w:w="80" w:type="dxa"/>
              <w:end w:w="80" w:type="dxa"/>
            </w:tcMar>
            <w:vAlign w:val="top"/>
          </w:tcPr>
          <w:p>
            <w:pPr>
              <w:spacing w:after="0"/>
            </w:pPr>
            <w:r>
              <w:rPr>
                <w:sz w:val="16"/>
              </w:rPr>
              <w:t>Status</w:t>
            </w:r>
          </w:p>
        </w:tc>
        <w:tc>
          <w:tcPr>
            <w:tcW w:type="dxa" w:w="7992"/>
            <w:tcMar>
              <w:top w:w="80" w:type="dxa"/>
              <w:start w:w="80" w:type="dxa"/>
              <w:bottom w:w="80" w:type="dxa"/>
              <w:end w:w="80" w:type="dxa"/>
            </w:tcMar>
            <w:vAlign w:val="top"/>
          </w:tcPr>
          <w:p>
            <w:pPr>
              <w:spacing w:after="0"/>
            </w:pPr>
            <w:r>
              <w:rPr>
                <w:sz w:val="16"/>
              </w:rPr>
              <w:t>Draft baseline</w:t>
            </w:r>
          </w:p>
        </w:tc>
      </w:tr>
      <w:tr>
        <w:tc>
          <w:tcPr>
            <w:tcW w:type="dxa" w:w="2232"/>
            <w:tcMar>
              <w:top w:w="80" w:type="dxa"/>
              <w:start w:w="80" w:type="dxa"/>
              <w:bottom w:w="80" w:type="dxa"/>
              <w:end w:w="80" w:type="dxa"/>
            </w:tcMar>
            <w:vAlign w:val="top"/>
          </w:tcPr>
          <w:p>
            <w:pPr>
              <w:spacing w:after="0"/>
            </w:pPr>
            <w:r>
              <w:rPr>
                <w:sz w:val="16"/>
              </w:rPr>
              <w:t>Language</w:t>
            </w:r>
          </w:p>
        </w:tc>
        <w:tc>
          <w:tcPr>
            <w:tcW w:type="dxa" w:w="7992"/>
            <w:tcMar>
              <w:top w:w="80" w:type="dxa"/>
              <w:start w:w="80" w:type="dxa"/>
              <w:bottom w:w="80" w:type="dxa"/>
              <w:end w:w="80" w:type="dxa"/>
            </w:tcMar>
            <w:vAlign w:val="top"/>
          </w:tcPr>
          <w:p>
            <w:pPr>
              <w:spacing w:after="0"/>
            </w:pPr>
            <w:r>
              <w:rPr>
                <w:sz w:val="16"/>
              </w:rPr>
              <w:t>English</w:t>
            </w:r>
          </w:p>
        </w:tc>
      </w:tr>
      <w:tr>
        <w:tc>
          <w:tcPr>
            <w:tcW w:type="dxa" w:w="2232"/>
            <w:tcMar>
              <w:top w:w="80" w:type="dxa"/>
              <w:start w:w="80" w:type="dxa"/>
              <w:bottom w:w="80" w:type="dxa"/>
              <w:end w:w="80" w:type="dxa"/>
            </w:tcMar>
            <w:vAlign w:val="top"/>
          </w:tcPr>
          <w:p>
            <w:pPr>
              <w:spacing w:after="0"/>
            </w:pPr>
            <w:r>
              <w:rPr>
                <w:sz w:val="16"/>
              </w:rPr>
              <w:t>Primary objective</w:t>
            </w:r>
          </w:p>
        </w:tc>
        <w:tc>
          <w:tcPr>
            <w:tcW w:type="dxa" w:w="7992"/>
            <w:tcMar>
              <w:top w:w="80" w:type="dxa"/>
              <w:start w:w="80" w:type="dxa"/>
              <w:bottom w:w="80" w:type="dxa"/>
              <w:end w:w="80" w:type="dxa"/>
            </w:tcMar>
            <w:vAlign w:val="top"/>
          </w:tcPr>
          <w:p>
            <w:pPr>
              <w:spacing w:after="0"/>
            </w:pPr>
            <w:r>
              <w:rPr>
                <w:sz w:val="16"/>
              </w:rPr>
              <w:t>Define the business problem, outcomes, capabilities, stakeholders, business rules, KPIs, risks, and operating model for the Sadara Platform.</w:t>
            </w:r>
          </w:p>
        </w:tc>
      </w:tr>
      <w:tr>
        <w:tc>
          <w:tcPr>
            <w:tcW w:type="dxa" w:w="2232"/>
            <w:tcMar>
              <w:top w:w="80" w:type="dxa"/>
              <w:start w:w="80" w:type="dxa"/>
              <w:bottom w:w="80" w:type="dxa"/>
              <w:end w:w="80" w:type="dxa"/>
            </w:tcMar>
            <w:vAlign w:val="top"/>
          </w:tcPr>
          <w:p>
            <w:pPr>
              <w:spacing w:after="0"/>
            </w:pPr>
            <w:r>
              <w:rPr>
                <w:sz w:val="16"/>
              </w:rPr>
              <w:t>Primary audience</w:t>
            </w:r>
          </w:p>
        </w:tc>
        <w:tc>
          <w:tcPr>
            <w:tcW w:type="dxa" w:w="7992"/>
            <w:tcMar>
              <w:top w:w="80" w:type="dxa"/>
              <w:start w:w="80" w:type="dxa"/>
              <w:bottom w:w="80" w:type="dxa"/>
              <w:end w:w="80" w:type="dxa"/>
            </w:tcMar>
            <w:vAlign w:val="top"/>
          </w:tcPr>
          <w:p>
            <w:pPr>
              <w:spacing w:after="0"/>
            </w:pPr>
            <w:r>
              <w:rPr>
                <w:sz w:val="16"/>
              </w:rPr>
              <w:t>Agency leadership, business owners, legal, sporting, medical, finance, training, product, technology, implementation partner.</w:t>
            </w:r>
          </w:p>
        </w:tc>
      </w:tr>
      <w:tr>
        <w:tc>
          <w:tcPr>
            <w:tcW w:type="dxa" w:w="2232"/>
            <w:tcMar>
              <w:top w:w="80" w:type="dxa"/>
              <w:start w:w="80" w:type="dxa"/>
              <w:bottom w:w="80" w:type="dxa"/>
              <w:end w:w="80" w:type="dxa"/>
            </w:tcMar>
            <w:vAlign w:val="top"/>
          </w:tcPr>
          <w:p>
            <w:pPr>
              <w:spacing w:after="0"/>
            </w:pPr>
            <w:r>
              <w:rPr>
                <w:sz w:val="16"/>
              </w:rPr>
              <w:t>Source baseline</w:t>
            </w:r>
          </w:p>
        </w:tc>
        <w:tc>
          <w:tcPr>
            <w:tcW w:type="dxa" w:w="7992"/>
            <w:tcMar>
              <w:top w:w="80" w:type="dxa"/>
              <w:start w:w="80" w:type="dxa"/>
              <w:bottom w:w="80" w:type="dxa"/>
              <w:end w:w="80" w:type="dxa"/>
            </w:tcMar>
            <w:vAlign w:val="top"/>
          </w:tcPr>
          <w:p>
            <w:pPr>
              <w:spacing w:after="0"/>
            </w:pPr>
            <w:r>
              <w:rPr>
                <w:sz w:val="16"/>
              </w:rPr>
              <w:t>Sadara concept brief + supplied Prisma/PostgreSQL schema</w:t>
            </w:r>
          </w:p>
        </w:tc>
      </w:tr>
      <w:tr>
        <w:tc>
          <w:tcPr>
            <w:tcW w:type="dxa" w:w="2232"/>
            <w:tcMar>
              <w:top w:w="80" w:type="dxa"/>
              <w:start w:w="80" w:type="dxa"/>
              <w:bottom w:w="80" w:type="dxa"/>
              <w:end w:w="80" w:type="dxa"/>
            </w:tcMar>
            <w:vAlign w:val="top"/>
          </w:tcPr>
          <w:p>
            <w:pPr>
              <w:spacing w:after="0"/>
            </w:pPr>
            <w:r>
              <w:rPr>
                <w:sz w:val="16"/>
              </w:rPr>
              <w:t>Requirement method</w:t>
            </w:r>
          </w:p>
        </w:tc>
        <w:tc>
          <w:tcPr>
            <w:tcW w:type="dxa" w:w="7992"/>
            <w:tcMar>
              <w:top w:w="80" w:type="dxa"/>
              <w:start w:w="80" w:type="dxa"/>
              <w:bottom w:w="80" w:type="dxa"/>
              <w:end w:w="80" w:type="dxa"/>
            </w:tcMar>
            <w:vAlign w:val="top"/>
          </w:tcPr>
          <w:p>
            <w:pPr>
              <w:spacing w:after="0"/>
            </w:pPr>
            <w:r>
              <w:rPr>
                <w:sz w:val="16"/>
              </w:rPr>
              <w:t>ISO/IEC/IEEE 29148-aligned structure with explicit identifiers and acceptance intent</w:t>
            </w:r>
          </w:p>
        </w:tc>
      </w:tr>
    </w:tbl>
    <w:p>
      <w:pPr>
        <w:spacing w:after="40"/>
      </w:pPr>
    </w:p>
    <w:p>
      <w:r>
        <w:t>Traceability rule: business requirements are refined into product requirements, then system requirements, then software requirements. Requirement IDs are stable and must not be reused after baseline approval.</w:t>
      </w:r>
    </w:p>
    <w:p>
      <w:pPr>
        <w:pStyle w:val="Heading1"/>
      </w:pPr>
      <w:r>
        <w:t>1. Executive Summary</w:t>
      </w:r>
    </w:p>
    <w:p>
      <w:r>
        <w:t>Sadara Platform is a digital operating platform for a sports agency to manage players across the player lifecycle: onboarding, profile management, contracts, legal support, scouting, performance, training and development, medical/rehabilitation, communication, notifications, evaluation, documents, and management reporting. The target operating model is a controlled multi-tenant SaaS foundation, while the initial deployment may serve Sadara as the first tenant.</w:t>
      </w:r>
    </w:p>
    <w:p>
      <w:r>
        <w:t>The business case is not simply digitizing records. The platform should create a single operational record for each player, reduce manual coordination between departments, improve contract and legal control, turn performance data into actionable insight, and produce a professional player dossier that can be shared with authorized external parties.</w:t>
      </w:r>
    </w:p>
    <w:p>
      <w:pPr>
        <w:pStyle w:val="Heading1"/>
      </w:pPr>
      <w:r>
        <w:t>2. Business Context and Problem Statement</w:t>
      </w:r>
    </w:p>
    <w:p>
      <w:r>
        <w:t>Sports-agency operations often span multiple specialist functions that each hold partial player information. Without a shared operating model, the agency is exposed to duplicated data entry, missed deadlines, inconsistent player profiles, unmanaged documents, fragmented communication, weak auditability, and slow preparation of player presentations.</w:t>
      </w:r>
    </w:p>
    <w:p>
      <w:r>
        <w:t>The supplied data model confirms that the intended scope extends beyond the initial seven modules. It already includes 29 domain models and 26 enums covering scouting, medical treatment, contract approvals and versions, attendance, legal tickets, messaging, permissions, notifications and audit logs. The business requirements therefore treat these as first-class capabilities, not future-only ideas.</w:t>
      </w:r>
    </w:p>
    <w:p>
      <w:pPr>
        <w:pStyle w:val="Heading1"/>
      </w:pPr>
      <w:r>
        <w:t>3. Business Objectives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656"/>
            <w:shd w:fill="17375E"/>
            <w:tcMar>
              <w:top w:w="80" w:type="dxa"/>
              <w:start w:w="80" w:type="dxa"/>
              <w:bottom w:w="80" w:type="dxa"/>
              <w:end w:w="80" w:type="dxa"/>
            </w:tcMar>
            <w:vAlign w:val="center"/>
          </w:tcPr>
          <w:p>
            <w:r>
              <w:rPr>
                <w:b/>
                <w:color w:val="FFFFFF"/>
                <w:sz w:val="17"/>
              </w:rPr>
              <w:t>ID</w:t>
            </w:r>
          </w:p>
        </w:tc>
        <w:tc>
          <w:tcPr>
            <w:tcW w:type="dxa" w:w="8568"/>
            <w:shd w:fill="17375E"/>
            <w:tcMar>
              <w:top w:w="80" w:type="dxa"/>
              <w:start w:w="80" w:type="dxa"/>
              <w:bottom w:w="80" w:type="dxa"/>
              <w:end w:w="80" w:type="dxa"/>
            </w:tcMar>
            <w:vAlign w:val="center"/>
          </w:tcPr>
          <w:p>
            <w:r>
              <w:rPr>
                <w:b/>
                <w:color w:val="FFFFFF"/>
                <w:sz w:val="17"/>
              </w:rPr>
              <w:t>Objective</w:t>
            </w:r>
          </w:p>
        </w:tc>
      </w:tr>
      <w:tr>
        <w:tc>
          <w:tcPr>
            <w:tcW w:type="dxa" w:w="1656"/>
            <w:tcMar>
              <w:top w:w="80" w:type="dxa"/>
              <w:start w:w="80" w:type="dxa"/>
              <w:bottom w:w="80" w:type="dxa"/>
              <w:end w:w="80" w:type="dxa"/>
            </w:tcMar>
            <w:vAlign w:val="top"/>
          </w:tcPr>
          <w:p>
            <w:pPr>
              <w:spacing w:after="0"/>
            </w:pPr>
            <w:r>
              <w:rPr>
                <w:sz w:val="16"/>
              </w:rPr>
              <w:t>BR-OBJ-01</w:t>
            </w:r>
          </w:p>
        </w:tc>
        <w:tc>
          <w:tcPr>
            <w:tcW w:type="dxa" w:w="8568"/>
            <w:tcMar>
              <w:top w:w="80" w:type="dxa"/>
              <w:start w:w="80" w:type="dxa"/>
              <w:bottom w:w="80" w:type="dxa"/>
              <w:end w:w="80" w:type="dxa"/>
            </w:tcMar>
            <w:vAlign w:val="top"/>
          </w:tcPr>
          <w:p>
            <w:pPr>
              <w:spacing w:after="0"/>
            </w:pPr>
            <w:r>
              <w:rPr>
                <w:sz w:val="16"/>
              </w:rPr>
              <w:t>Create one authoritative digital player record across all agency departments.</w:t>
            </w:r>
          </w:p>
        </w:tc>
      </w:tr>
      <w:tr>
        <w:tc>
          <w:tcPr>
            <w:tcW w:type="dxa" w:w="1656"/>
            <w:tcMar>
              <w:top w:w="80" w:type="dxa"/>
              <w:start w:w="80" w:type="dxa"/>
              <w:bottom w:w="80" w:type="dxa"/>
              <w:end w:w="80" w:type="dxa"/>
            </w:tcMar>
            <w:vAlign w:val="top"/>
          </w:tcPr>
          <w:p>
            <w:pPr>
              <w:spacing w:after="0"/>
            </w:pPr>
            <w:r>
              <w:rPr>
                <w:sz w:val="16"/>
              </w:rPr>
              <w:t>BR-OBJ-02</w:t>
            </w:r>
          </w:p>
        </w:tc>
        <w:tc>
          <w:tcPr>
            <w:tcW w:type="dxa" w:w="8568"/>
            <w:tcMar>
              <w:top w:w="80" w:type="dxa"/>
              <w:start w:w="80" w:type="dxa"/>
              <w:bottom w:w="80" w:type="dxa"/>
              <w:end w:w="80" w:type="dxa"/>
            </w:tcMar>
            <w:vAlign w:val="top"/>
          </w:tcPr>
          <w:p>
            <w:pPr>
              <w:spacing w:after="0"/>
            </w:pPr>
            <w:r>
              <w:rPr>
                <w:sz w:val="16"/>
              </w:rPr>
              <w:t>Reduce manual contract, legal and document administration and improve deadline visibility.</w:t>
            </w:r>
          </w:p>
        </w:tc>
      </w:tr>
      <w:tr>
        <w:tc>
          <w:tcPr>
            <w:tcW w:type="dxa" w:w="1656"/>
            <w:tcMar>
              <w:top w:w="80" w:type="dxa"/>
              <w:start w:w="80" w:type="dxa"/>
              <w:bottom w:w="80" w:type="dxa"/>
              <w:end w:w="80" w:type="dxa"/>
            </w:tcMar>
            <w:vAlign w:val="top"/>
          </w:tcPr>
          <w:p>
            <w:pPr>
              <w:spacing w:after="0"/>
            </w:pPr>
            <w:r>
              <w:rPr>
                <w:sz w:val="16"/>
              </w:rPr>
              <w:t>BR-OBJ-03</w:t>
            </w:r>
          </w:p>
        </w:tc>
        <w:tc>
          <w:tcPr>
            <w:tcW w:type="dxa" w:w="8568"/>
            <w:tcMar>
              <w:top w:w="80" w:type="dxa"/>
              <w:start w:w="80" w:type="dxa"/>
              <w:bottom w:w="80" w:type="dxa"/>
              <w:end w:w="80" w:type="dxa"/>
            </w:tcMar>
            <w:vAlign w:val="top"/>
          </w:tcPr>
          <w:p>
            <w:pPr>
              <w:spacing w:after="0"/>
            </w:pPr>
            <w:r>
              <w:rPr>
                <w:sz w:val="16"/>
              </w:rPr>
              <w:t>Create a repeatable process for training, camps, attendance and player development.</w:t>
            </w:r>
          </w:p>
        </w:tc>
      </w:tr>
      <w:tr>
        <w:tc>
          <w:tcPr>
            <w:tcW w:type="dxa" w:w="1656"/>
            <w:tcMar>
              <w:top w:w="80" w:type="dxa"/>
              <w:start w:w="80" w:type="dxa"/>
              <w:bottom w:w="80" w:type="dxa"/>
              <w:end w:w="80" w:type="dxa"/>
            </w:tcMar>
            <w:vAlign w:val="top"/>
          </w:tcPr>
          <w:p>
            <w:pPr>
              <w:spacing w:after="0"/>
            </w:pPr>
            <w:r>
              <w:rPr>
                <w:sz w:val="16"/>
              </w:rPr>
              <w:t>BR-OBJ-04</w:t>
            </w:r>
          </w:p>
        </w:tc>
        <w:tc>
          <w:tcPr>
            <w:tcW w:type="dxa" w:w="8568"/>
            <w:tcMar>
              <w:top w:w="80" w:type="dxa"/>
              <w:start w:w="80" w:type="dxa"/>
              <w:bottom w:w="80" w:type="dxa"/>
              <w:end w:w="80" w:type="dxa"/>
            </w:tcMar>
            <w:vAlign w:val="top"/>
          </w:tcPr>
          <w:p>
            <w:pPr>
              <w:spacing w:after="0"/>
            </w:pPr>
            <w:r>
              <w:rPr>
                <w:sz w:val="16"/>
              </w:rPr>
              <w:t>Provide reliable performance and evaluation history across seasons and periods.</w:t>
            </w:r>
          </w:p>
        </w:tc>
      </w:tr>
      <w:tr>
        <w:tc>
          <w:tcPr>
            <w:tcW w:type="dxa" w:w="1656"/>
            <w:tcMar>
              <w:top w:w="80" w:type="dxa"/>
              <w:start w:w="80" w:type="dxa"/>
              <w:bottom w:w="80" w:type="dxa"/>
              <w:end w:w="80" w:type="dxa"/>
            </w:tcMar>
            <w:vAlign w:val="top"/>
          </w:tcPr>
          <w:p>
            <w:pPr>
              <w:spacing w:after="0"/>
            </w:pPr>
            <w:r>
              <w:rPr>
                <w:sz w:val="16"/>
              </w:rPr>
              <w:t>BR-OBJ-05</w:t>
            </w:r>
          </w:p>
        </w:tc>
        <w:tc>
          <w:tcPr>
            <w:tcW w:type="dxa" w:w="8568"/>
            <w:tcMar>
              <w:top w:w="80" w:type="dxa"/>
              <w:start w:w="80" w:type="dxa"/>
              <w:bottom w:w="80" w:type="dxa"/>
              <w:end w:w="80" w:type="dxa"/>
            </w:tcMar>
            <w:vAlign w:val="top"/>
          </w:tcPr>
          <w:p>
            <w:pPr>
              <w:spacing w:after="0"/>
            </w:pPr>
            <w:r>
              <w:rPr>
                <w:sz w:val="16"/>
              </w:rPr>
              <w:t>Protect sensitive medical, legal and financial information through role and context based access.</w:t>
            </w:r>
          </w:p>
        </w:tc>
      </w:tr>
      <w:tr>
        <w:tc>
          <w:tcPr>
            <w:tcW w:type="dxa" w:w="1656"/>
            <w:tcMar>
              <w:top w:w="80" w:type="dxa"/>
              <w:start w:w="80" w:type="dxa"/>
              <w:bottom w:w="80" w:type="dxa"/>
              <w:end w:w="80" w:type="dxa"/>
            </w:tcMar>
            <w:vAlign w:val="top"/>
          </w:tcPr>
          <w:p>
            <w:pPr>
              <w:spacing w:after="0"/>
            </w:pPr>
            <w:r>
              <w:rPr>
                <w:sz w:val="16"/>
              </w:rPr>
              <w:t>BR-OBJ-06</w:t>
            </w:r>
          </w:p>
        </w:tc>
        <w:tc>
          <w:tcPr>
            <w:tcW w:type="dxa" w:w="8568"/>
            <w:tcMar>
              <w:top w:w="80" w:type="dxa"/>
              <w:start w:w="80" w:type="dxa"/>
              <w:bottom w:w="80" w:type="dxa"/>
              <w:end w:w="80" w:type="dxa"/>
            </w:tcMar>
            <w:vAlign w:val="top"/>
          </w:tcPr>
          <w:p>
            <w:pPr>
              <w:spacing w:after="0"/>
            </w:pPr>
            <w:r>
              <w:rPr>
                <w:sz w:val="16"/>
              </w:rPr>
              <w:t>Provide auditable internal communication and operational notifications.</w:t>
            </w:r>
          </w:p>
        </w:tc>
      </w:tr>
      <w:tr>
        <w:tc>
          <w:tcPr>
            <w:tcW w:type="dxa" w:w="1656"/>
            <w:tcMar>
              <w:top w:w="80" w:type="dxa"/>
              <w:start w:w="80" w:type="dxa"/>
              <w:bottom w:w="80" w:type="dxa"/>
              <w:end w:w="80" w:type="dxa"/>
            </w:tcMar>
            <w:vAlign w:val="top"/>
          </w:tcPr>
          <w:p>
            <w:pPr>
              <w:spacing w:after="0"/>
            </w:pPr>
            <w:r>
              <w:rPr>
                <w:sz w:val="16"/>
              </w:rPr>
              <w:t>BR-OBJ-07</w:t>
            </w:r>
          </w:p>
        </w:tc>
        <w:tc>
          <w:tcPr>
            <w:tcW w:type="dxa" w:w="8568"/>
            <w:tcMar>
              <w:top w:w="80" w:type="dxa"/>
              <w:start w:w="80" w:type="dxa"/>
              <w:bottom w:w="80" w:type="dxa"/>
              <w:end w:w="80" w:type="dxa"/>
            </w:tcMar>
            <w:vAlign w:val="top"/>
          </w:tcPr>
          <w:p>
            <w:pPr>
              <w:spacing w:after="0"/>
            </w:pPr>
            <w:r>
              <w:rPr>
                <w:sz w:val="16"/>
              </w:rPr>
              <w:t>Enable generation of professional player profiles/dossiers for authorized club-facing use.</w:t>
            </w:r>
          </w:p>
        </w:tc>
      </w:tr>
      <w:tr>
        <w:tc>
          <w:tcPr>
            <w:tcW w:type="dxa" w:w="1656"/>
            <w:tcMar>
              <w:top w:w="80" w:type="dxa"/>
              <w:start w:w="80" w:type="dxa"/>
              <w:bottom w:w="80" w:type="dxa"/>
              <w:end w:w="80" w:type="dxa"/>
            </w:tcMar>
            <w:vAlign w:val="top"/>
          </w:tcPr>
          <w:p>
            <w:pPr>
              <w:spacing w:after="0"/>
            </w:pPr>
            <w:r>
              <w:rPr>
                <w:sz w:val="16"/>
              </w:rPr>
              <w:t>BR-OBJ-08</w:t>
            </w:r>
          </w:p>
        </w:tc>
        <w:tc>
          <w:tcPr>
            <w:tcW w:type="dxa" w:w="8568"/>
            <w:tcMar>
              <w:top w:w="80" w:type="dxa"/>
              <w:start w:w="80" w:type="dxa"/>
              <w:bottom w:w="80" w:type="dxa"/>
              <w:end w:w="80" w:type="dxa"/>
            </w:tcMar>
            <w:vAlign w:val="top"/>
          </w:tcPr>
          <w:p>
            <w:pPr>
              <w:spacing w:after="0"/>
            </w:pPr>
            <w:r>
              <w:rPr>
                <w:sz w:val="16"/>
              </w:rPr>
              <w:t>Create a scalable product foundation that can later support additional agencies/tenants.</w:t>
            </w:r>
          </w:p>
        </w:tc>
      </w:tr>
      <w:tr>
        <w:tc>
          <w:tcPr>
            <w:tcW w:type="dxa" w:w="1656"/>
            <w:tcMar>
              <w:top w:w="80" w:type="dxa"/>
              <w:start w:w="80" w:type="dxa"/>
              <w:bottom w:w="80" w:type="dxa"/>
              <w:end w:w="80" w:type="dxa"/>
            </w:tcMar>
            <w:vAlign w:val="top"/>
          </w:tcPr>
          <w:p>
            <w:pPr>
              <w:spacing w:after="0"/>
            </w:pPr>
            <w:r>
              <w:rPr>
                <w:sz w:val="16"/>
              </w:rPr>
              <w:t>BR-OBJ-09</w:t>
            </w:r>
          </w:p>
        </w:tc>
        <w:tc>
          <w:tcPr>
            <w:tcW w:type="dxa" w:w="8568"/>
            <w:tcMar>
              <w:top w:w="80" w:type="dxa"/>
              <w:start w:w="80" w:type="dxa"/>
              <w:bottom w:w="80" w:type="dxa"/>
              <w:end w:w="80" w:type="dxa"/>
            </w:tcMar>
            <w:vAlign w:val="top"/>
          </w:tcPr>
          <w:p>
            <w:pPr>
              <w:spacing w:after="0"/>
            </w:pPr>
            <w:r>
              <w:rPr>
                <w:sz w:val="16"/>
              </w:rPr>
              <w:t>Establish reliable data, security and operational governance suitable for commercial operation.</w:t>
            </w:r>
          </w:p>
        </w:tc>
      </w:tr>
    </w:tbl>
    <w:p>
      <w:pPr>
        <w:spacing w:after="40"/>
      </w:pPr>
    </w:p>
    <w:p>
      <w:pPr>
        <w:pStyle w:val="Heading1"/>
      </w:pPr>
      <w:r>
        <w:t>4. Stakeholders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75E"/>
            <w:tcMar>
              <w:top w:w="80" w:type="dxa"/>
              <w:start w:w="80" w:type="dxa"/>
              <w:bottom w:w="80" w:type="dxa"/>
              <w:end w:w="80" w:type="dxa"/>
            </w:tcMar>
            <w:vAlign w:val="center"/>
          </w:tcPr>
          <w:p>
            <w:r>
              <w:rPr>
                <w:b/>
                <w:color w:val="FFFFFF"/>
                <w:sz w:val="17"/>
              </w:rPr>
              <w:t>Stakeholder</w:t>
            </w:r>
          </w:p>
        </w:tc>
        <w:tc>
          <w:tcPr>
            <w:tcW w:type="dxa" w:w="3384"/>
            <w:shd w:fill="17375E"/>
            <w:tcMar>
              <w:top w:w="80" w:type="dxa"/>
              <w:start w:w="80" w:type="dxa"/>
              <w:bottom w:w="80" w:type="dxa"/>
              <w:end w:w="80" w:type="dxa"/>
            </w:tcMar>
            <w:vAlign w:val="center"/>
          </w:tcPr>
          <w:p>
            <w:r>
              <w:rPr>
                <w:b/>
                <w:color w:val="FFFFFF"/>
                <w:sz w:val="17"/>
              </w:rPr>
              <w:t>Interest / responsibility</w:t>
            </w:r>
          </w:p>
        </w:tc>
        <w:tc>
          <w:tcPr>
            <w:tcW w:type="dxa" w:w="4896"/>
            <w:shd w:fill="17375E"/>
            <w:tcMar>
              <w:top w:w="80" w:type="dxa"/>
              <w:start w:w="80" w:type="dxa"/>
              <w:bottom w:w="80" w:type="dxa"/>
              <w:end w:w="80" w:type="dxa"/>
            </w:tcMar>
            <w:vAlign w:val="center"/>
          </w:tcPr>
          <w:p>
            <w:r>
              <w:rPr>
                <w:b/>
                <w:color w:val="FFFFFF"/>
                <w:sz w:val="17"/>
              </w:rPr>
              <w:t>Primary information need</w:t>
            </w:r>
          </w:p>
        </w:tc>
      </w:tr>
      <w:tr>
        <w:tc>
          <w:tcPr>
            <w:tcW w:type="dxa" w:w="1944"/>
            <w:tcMar>
              <w:top w:w="80" w:type="dxa"/>
              <w:start w:w="80" w:type="dxa"/>
              <w:bottom w:w="80" w:type="dxa"/>
              <w:end w:w="80" w:type="dxa"/>
            </w:tcMar>
            <w:vAlign w:val="top"/>
          </w:tcPr>
          <w:p>
            <w:pPr>
              <w:spacing w:after="0"/>
            </w:pPr>
            <w:r>
              <w:rPr>
                <w:sz w:val="16"/>
              </w:rPr>
              <w:t>Agency Owner / Executive</w:t>
            </w:r>
          </w:p>
        </w:tc>
        <w:tc>
          <w:tcPr>
            <w:tcW w:type="dxa" w:w="3384"/>
            <w:tcMar>
              <w:top w:w="80" w:type="dxa"/>
              <w:start w:w="80" w:type="dxa"/>
              <w:bottom w:w="80" w:type="dxa"/>
              <w:end w:w="80" w:type="dxa"/>
            </w:tcMar>
            <w:vAlign w:val="top"/>
          </w:tcPr>
          <w:p>
            <w:pPr>
              <w:spacing w:after="0"/>
            </w:pPr>
            <w:r>
              <w:rPr>
                <w:sz w:val="16"/>
              </w:rPr>
              <w:t>Strategy, commercial outcomes, approvals</w:t>
            </w:r>
          </w:p>
        </w:tc>
        <w:tc>
          <w:tcPr>
            <w:tcW w:type="dxa" w:w="4896"/>
            <w:tcMar>
              <w:top w:w="80" w:type="dxa"/>
              <w:start w:w="80" w:type="dxa"/>
              <w:bottom w:w="80" w:type="dxa"/>
              <w:end w:w="80" w:type="dxa"/>
            </w:tcMar>
            <w:vAlign w:val="top"/>
          </w:tcPr>
          <w:p>
            <w:pPr>
              <w:spacing w:after="0"/>
            </w:pPr>
            <w:r>
              <w:rPr>
                <w:sz w:val="16"/>
              </w:rPr>
              <w:t>Portfolio health, contracts, player status, performance, risks, financial and operational dashboards</w:t>
            </w:r>
          </w:p>
        </w:tc>
      </w:tr>
      <w:tr>
        <w:tc>
          <w:tcPr>
            <w:tcW w:type="dxa" w:w="1944"/>
            <w:tcMar>
              <w:top w:w="80" w:type="dxa"/>
              <w:start w:w="80" w:type="dxa"/>
              <w:bottom w:w="80" w:type="dxa"/>
              <w:end w:w="80" w:type="dxa"/>
            </w:tcMar>
            <w:vAlign w:val="top"/>
          </w:tcPr>
          <w:p>
            <w:pPr>
              <w:spacing w:after="0"/>
            </w:pPr>
            <w:r>
              <w:rPr>
                <w:sz w:val="16"/>
              </w:rPr>
              <w:t>General/Admin</w:t>
            </w:r>
          </w:p>
        </w:tc>
        <w:tc>
          <w:tcPr>
            <w:tcW w:type="dxa" w:w="3384"/>
            <w:tcMar>
              <w:top w:w="80" w:type="dxa"/>
              <w:start w:w="80" w:type="dxa"/>
              <w:bottom w:w="80" w:type="dxa"/>
              <w:end w:w="80" w:type="dxa"/>
            </w:tcMar>
            <w:vAlign w:val="top"/>
          </w:tcPr>
          <w:p>
            <w:pPr>
              <w:spacing w:after="0"/>
            </w:pPr>
            <w:r>
              <w:rPr>
                <w:sz w:val="16"/>
              </w:rPr>
              <w:t>Daily operations and administration</w:t>
            </w:r>
          </w:p>
        </w:tc>
        <w:tc>
          <w:tcPr>
            <w:tcW w:type="dxa" w:w="4896"/>
            <w:tcMar>
              <w:top w:w="80" w:type="dxa"/>
              <w:start w:w="80" w:type="dxa"/>
              <w:bottom w:w="80" w:type="dxa"/>
              <w:end w:w="80" w:type="dxa"/>
            </w:tcMar>
            <w:vAlign w:val="top"/>
          </w:tcPr>
          <w:p>
            <w:pPr>
              <w:spacing w:after="0"/>
            </w:pPr>
            <w:r>
              <w:rPr>
                <w:sz w:val="16"/>
              </w:rPr>
              <w:t>Player records, tasks, documents, users, notifications, audit</w:t>
            </w:r>
          </w:p>
        </w:tc>
      </w:tr>
      <w:tr>
        <w:tc>
          <w:tcPr>
            <w:tcW w:type="dxa" w:w="1944"/>
            <w:tcMar>
              <w:top w:w="80" w:type="dxa"/>
              <w:start w:w="80" w:type="dxa"/>
              <w:bottom w:w="80" w:type="dxa"/>
              <w:end w:w="80" w:type="dxa"/>
            </w:tcMar>
            <w:vAlign w:val="top"/>
          </w:tcPr>
          <w:p>
            <w:pPr>
              <w:spacing w:after="0"/>
            </w:pPr>
            <w:r>
              <w:rPr>
                <w:sz w:val="16"/>
              </w:rPr>
              <w:t>Sporting Director</w:t>
            </w:r>
          </w:p>
        </w:tc>
        <w:tc>
          <w:tcPr>
            <w:tcW w:type="dxa" w:w="3384"/>
            <w:tcMar>
              <w:top w:w="80" w:type="dxa"/>
              <w:start w:w="80" w:type="dxa"/>
              <w:bottom w:w="80" w:type="dxa"/>
              <w:end w:w="80" w:type="dxa"/>
            </w:tcMar>
            <w:vAlign w:val="top"/>
          </w:tcPr>
          <w:p>
            <w:pPr>
              <w:spacing w:after="0"/>
            </w:pPr>
            <w:r>
              <w:rPr>
                <w:sz w:val="16"/>
              </w:rPr>
              <w:t>Squad planning and recruitment</w:t>
            </w:r>
          </w:p>
        </w:tc>
        <w:tc>
          <w:tcPr>
            <w:tcW w:type="dxa" w:w="4896"/>
            <w:tcMar>
              <w:top w:w="80" w:type="dxa"/>
              <w:start w:w="80" w:type="dxa"/>
              <w:bottom w:w="80" w:type="dxa"/>
              <w:end w:w="80" w:type="dxa"/>
            </w:tcMar>
            <w:vAlign w:val="top"/>
          </w:tcPr>
          <w:p>
            <w:pPr>
              <w:spacing w:after="0"/>
            </w:pPr>
            <w:r>
              <w:rPr>
                <w:sz w:val="16"/>
              </w:rPr>
              <w:t>Players, contracts, scouting, watchlists, development, performance</w:t>
            </w:r>
          </w:p>
        </w:tc>
      </w:tr>
      <w:tr>
        <w:tc>
          <w:tcPr>
            <w:tcW w:type="dxa" w:w="1944"/>
            <w:tcMar>
              <w:top w:w="80" w:type="dxa"/>
              <w:start w:w="80" w:type="dxa"/>
              <w:bottom w:w="80" w:type="dxa"/>
              <w:end w:w="80" w:type="dxa"/>
            </w:tcMar>
            <w:vAlign w:val="top"/>
          </w:tcPr>
          <w:p>
            <w:pPr>
              <w:spacing w:after="0"/>
            </w:pPr>
            <w:r>
              <w:rPr>
                <w:sz w:val="16"/>
              </w:rPr>
              <w:t>Scout</w:t>
            </w:r>
          </w:p>
        </w:tc>
        <w:tc>
          <w:tcPr>
            <w:tcW w:type="dxa" w:w="3384"/>
            <w:tcMar>
              <w:top w:w="80" w:type="dxa"/>
              <w:start w:w="80" w:type="dxa"/>
              <w:bottom w:w="80" w:type="dxa"/>
              <w:end w:w="80" w:type="dxa"/>
            </w:tcMar>
            <w:vAlign w:val="top"/>
          </w:tcPr>
          <w:p>
            <w:pPr>
              <w:spacing w:after="0"/>
            </w:pPr>
            <w:r>
              <w:rPr>
                <w:sz w:val="16"/>
              </w:rPr>
              <w:t>Talent discovery and evaluation</w:t>
            </w:r>
          </w:p>
        </w:tc>
        <w:tc>
          <w:tcPr>
            <w:tcW w:type="dxa" w:w="4896"/>
            <w:tcMar>
              <w:top w:w="80" w:type="dxa"/>
              <w:start w:w="80" w:type="dxa"/>
              <w:bottom w:w="80" w:type="dxa"/>
              <w:end w:w="80" w:type="dxa"/>
            </w:tcMar>
            <w:vAlign w:val="top"/>
          </w:tcPr>
          <w:p>
            <w:pPr>
              <w:spacing w:after="0"/>
            </w:pPr>
            <w:r>
              <w:rPr>
                <w:sz w:val="16"/>
              </w:rPr>
              <w:t>Assignments, prospects, reports, recommendations, watchlists</w:t>
            </w:r>
          </w:p>
        </w:tc>
      </w:tr>
      <w:tr>
        <w:tc>
          <w:tcPr>
            <w:tcW w:type="dxa" w:w="1944"/>
            <w:tcMar>
              <w:top w:w="80" w:type="dxa"/>
              <w:start w:w="80" w:type="dxa"/>
              <w:bottom w:w="80" w:type="dxa"/>
              <w:end w:w="80" w:type="dxa"/>
            </w:tcMar>
            <w:vAlign w:val="top"/>
          </w:tcPr>
          <w:p>
            <w:pPr>
              <w:spacing w:after="0"/>
            </w:pPr>
            <w:r>
              <w:rPr>
                <w:sz w:val="16"/>
              </w:rPr>
              <w:t>Coach / Assistant / GK / Fitness</w:t>
            </w:r>
          </w:p>
        </w:tc>
        <w:tc>
          <w:tcPr>
            <w:tcW w:type="dxa" w:w="3384"/>
            <w:tcMar>
              <w:top w:w="80" w:type="dxa"/>
              <w:start w:w="80" w:type="dxa"/>
              <w:bottom w:w="80" w:type="dxa"/>
              <w:end w:w="80" w:type="dxa"/>
            </w:tcMar>
            <w:vAlign w:val="top"/>
          </w:tcPr>
          <w:p>
            <w:pPr>
              <w:spacing w:after="0"/>
            </w:pPr>
            <w:r>
              <w:rPr>
                <w:sz w:val="16"/>
              </w:rPr>
              <w:t>Sporting development</w:t>
            </w:r>
          </w:p>
        </w:tc>
        <w:tc>
          <w:tcPr>
            <w:tcW w:type="dxa" w:w="4896"/>
            <w:tcMar>
              <w:top w:w="80" w:type="dxa"/>
              <w:start w:w="80" w:type="dxa"/>
              <w:bottom w:w="80" w:type="dxa"/>
              <w:end w:w="80" w:type="dxa"/>
            </w:tcMar>
            <w:vAlign w:val="top"/>
          </w:tcPr>
          <w:p>
            <w:pPr>
              <w:spacing w:after="0"/>
            </w:pPr>
            <w:r>
              <w:rPr>
                <w:sz w:val="16"/>
              </w:rPr>
              <w:t>Performance, ratings, training, attendance, development notes</w:t>
            </w:r>
          </w:p>
        </w:tc>
      </w:tr>
      <w:tr>
        <w:tc>
          <w:tcPr>
            <w:tcW w:type="dxa" w:w="1944"/>
            <w:tcMar>
              <w:top w:w="80" w:type="dxa"/>
              <w:start w:w="80" w:type="dxa"/>
              <w:bottom w:w="80" w:type="dxa"/>
              <w:end w:w="80" w:type="dxa"/>
            </w:tcMar>
            <w:vAlign w:val="top"/>
          </w:tcPr>
          <w:p>
            <w:pPr>
              <w:spacing w:after="0"/>
            </w:pPr>
            <w:r>
              <w:rPr>
                <w:sz w:val="16"/>
              </w:rPr>
              <w:t>Medical / Physiotherapist</w:t>
            </w:r>
          </w:p>
        </w:tc>
        <w:tc>
          <w:tcPr>
            <w:tcW w:type="dxa" w:w="3384"/>
            <w:tcMar>
              <w:top w:w="80" w:type="dxa"/>
              <w:start w:w="80" w:type="dxa"/>
              <w:bottom w:w="80" w:type="dxa"/>
              <w:end w:w="80" w:type="dxa"/>
            </w:tcMar>
            <w:vAlign w:val="top"/>
          </w:tcPr>
          <w:p>
            <w:pPr>
              <w:spacing w:after="0"/>
            </w:pPr>
            <w:r>
              <w:rPr>
                <w:sz w:val="16"/>
              </w:rPr>
              <w:t>Health and rehabilitation</w:t>
            </w:r>
          </w:p>
        </w:tc>
        <w:tc>
          <w:tcPr>
            <w:tcW w:type="dxa" w:w="4896"/>
            <w:tcMar>
              <w:top w:w="80" w:type="dxa"/>
              <w:start w:w="80" w:type="dxa"/>
              <w:bottom w:w="80" w:type="dxa"/>
              <w:end w:w="80" w:type="dxa"/>
            </w:tcMar>
            <w:vAlign w:val="top"/>
          </w:tcPr>
          <w:p>
            <w:pPr>
              <w:spacing w:after="0"/>
            </w:pPr>
            <w:r>
              <w:rPr>
                <w:sz w:val="16"/>
              </w:rPr>
              <w:t>Restricted medical records, injuries, treatment sessions, return-to-play</w:t>
            </w:r>
          </w:p>
        </w:tc>
      </w:tr>
      <w:tr>
        <w:tc>
          <w:tcPr>
            <w:tcW w:type="dxa" w:w="1944"/>
            <w:tcMar>
              <w:top w:w="80" w:type="dxa"/>
              <w:start w:w="80" w:type="dxa"/>
              <w:bottom w:w="80" w:type="dxa"/>
              <w:end w:w="80" w:type="dxa"/>
            </w:tcMar>
            <w:vAlign w:val="top"/>
          </w:tcPr>
          <w:p>
            <w:pPr>
              <w:spacing w:after="0"/>
            </w:pPr>
            <w:r>
              <w:rPr>
                <w:sz w:val="16"/>
              </w:rPr>
              <w:t>Legal</w:t>
            </w:r>
          </w:p>
        </w:tc>
        <w:tc>
          <w:tcPr>
            <w:tcW w:type="dxa" w:w="3384"/>
            <w:tcMar>
              <w:top w:w="80" w:type="dxa"/>
              <w:start w:w="80" w:type="dxa"/>
              <w:bottom w:w="80" w:type="dxa"/>
              <w:end w:w="80" w:type="dxa"/>
            </w:tcMar>
            <w:vAlign w:val="top"/>
          </w:tcPr>
          <w:p>
            <w:pPr>
              <w:spacing w:after="0"/>
            </w:pPr>
            <w:r>
              <w:rPr>
                <w:sz w:val="16"/>
              </w:rPr>
              <w:t>Contracts and casework</w:t>
            </w:r>
          </w:p>
        </w:tc>
        <w:tc>
          <w:tcPr>
            <w:tcW w:type="dxa" w:w="4896"/>
            <w:tcMar>
              <w:top w:w="80" w:type="dxa"/>
              <w:start w:w="80" w:type="dxa"/>
              <w:bottom w:w="80" w:type="dxa"/>
              <w:end w:w="80" w:type="dxa"/>
            </w:tcMar>
            <w:vAlign w:val="top"/>
          </w:tcPr>
          <w:p>
            <w:pPr>
              <w:spacing w:after="0"/>
            </w:pPr>
            <w:r>
              <w:rPr>
                <w:sz w:val="16"/>
              </w:rPr>
              <w:t>Contract versions, approvals, tickets, notes, deadlines, evidence</w:t>
            </w:r>
          </w:p>
        </w:tc>
      </w:tr>
      <w:tr>
        <w:tc>
          <w:tcPr>
            <w:tcW w:type="dxa" w:w="1944"/>
            <w:tcMar>
              <w:top w:w="80" w:type="dxa"/>
              <w:start w:w="80" w:type="dxa"/>
              <w:bottom w:w="80" w:type="dxa"/>
              <w:end w:w="80" w:type="dxa"/>
            </w:tcMar>
            <w:vAlign w:val="top"/>
          </w:tcPr>
          <w:p>
            <w:pPr>
              <w:spacing w:after="0"/>
            </w:pPr>
            <w:r>
              <w:rPr>
                <w:sz w:val="16"/>
              </w:rPr>
              <w:t>Finance Manager</w:t>
            </w:r>
          </w:p>
        </w:tc>
        <w:tc>
          <w:tcPr>
            <w:tcW w:type="dxa" w:w="3384"/>
            <w:tcMar>
              <w:top w:w="80" w:type="dxa"/>
              <w:start w:w="80" w:type="dxa"/>
              <w:bottom w:w="80" w:type="dxa"/>
              <w:end w:w="80" w:type="dxa"/>
            </w:tcMar>
            <w:vAlign w:val="top"/>
          </w:tcPr>
          <w:p>
            <w:pPr>
              <w:spacing w:after="0"/>
            </w:pPr>
            <w:r>
              <w:rPr>
                <w:sz w:val="16"/>
              </w:rPr>
              <w:t>Commercial/financial operations</w:t>
            </w:r>
          </w:p>
        </w:tc>
        <w:tc>
          <w:tcPr>
            <w:tcW w:type="dxa" w:w="4896"/>
            <w:tcMar>
              <w:top w:w="80" w:type="dxa"/>
              <w:start w:w="80" w:type="dxa"/>
              <w:bottom w:w="80" w:type="dxa"/>
              <w:end w:w="80" w:type="dxa"/>
            </w:tcMar>
            <w:vAlign w:val="top"/>
          </w:tcPr>
          <w:p>
            <w:pPr>
              <w:spacing w:after="0"/>
            </w:pPr>
            <w:r>
              <w:rPr>
                <w:sz w:val="16"/>
              </w:rPr>
              <w:t>Compensation terms, payments, invoices and financial transactions</w:t>
            </w:r>
          </w:p>
        </w:tc>
      </w:tr>
      <w:tr>
        <w:tc>
          <w:tcPr>
            <w:tcW w:type="dxa" w:w="1944"/>
            <w:tcMar>
              <w:top w:w="80" w:type="dxa"/>
              <w:start w:w="80" w:type="dxa"/>
              <w:bottom w:w="80" w:type="dxa"/>
              <w:end w:w="80" w:type="dxa"/>
            </w:tcMar>
            <w:vAlign w:val="top"/>
          </w:tcPr>
          <w:p>
            <w:pPr>
              <w:spacing w:after="0"/>
            </w:pPr>
            <w:r>
              <w:rPr>
                <w:sz w:val="16"/>
              </w:rPr>
              <w:t>Training Manager</w:t>
            </w:r>
          </w:p>
        </w:tc>
        <w:tc>
          <w:tcPr>
            <w:tcW w:type="dxa" w:w="3384"/>
            <w:tcMar>
              <w:top w:w="80" w:type="dxa"/>
              <w:start w:w="80" w:type="dxa"/>
              <w:bottom w:w="80" w:type="dxa"/>
              <w:end w:w="80" w:type="dxa"/>
            </w:tcMar>
            <w:vAlign w:val="top"/>
          </w:tcPr>
          <w:p>
            <w:pPr>
              <w:spacing w:after="0"/>
            </w:pPr>
            <w:r>
              <w:rPr>
                <w:sz w:val="16"/>
              </w:rPr>
              <w:t>Courses/camps/events</w:t>
            </w:r>
          </w:p>
        </w:tc>
        <w:tc>
          <w:tcPr>
            <w:tcW w:type="dxa" w:w="4896"/>
            <w:tcMar>
              <w:top w:w="80" w:type="dxa"/>
              <w:start w:w="80" w:type="dxa"/>
              <w:bottom w:w="80" w:type="dxa"/>
              <w:end w:w="80" w:type="dxa"/>
            </w:tcMar>
            <w:vAlign w:val="top"/>
          </w:tcPr>
          <w:p>
            <w:pPr>
              <w:spacing w:after="0"/>
            </w:pPr>
            <w:r>
              <w:rPr>
                <w:sz w:val="16"/>
              </w:rPr>
              <w:t>Training programs, sessions, enrollments, attendance, certificates</w:t>
            </w:r>
          </w:p>
        </w:tc>
      </w:tr>
      <w:tr>
        <w:tc>
          <w:tcPr>
            <w:tcW w:type="dxa" w:w="1944"/>
            <w:tcMar>
              <w:top w:w="80" w:type="dxa"/>
              <w:start w:w="80" w:type="dxa"/>
              <w:bottom w:w="80" w:type="dxa"/>
              <w:end w:w="80" w:type="dxa"/>
            </w:tcMar>
            <w:vAlign w:val="top"/>
          </w:tcPr>
          <w:p>
            <w:pPr>
              <w:spacing w:after="0"/>
            </w:pPr>
            <w:r>
              <w:rPr>
                <w:sz w:val="16"/>
              </w:rPr>
              <w:t>Player</w:t>
            </w:r>
          </w:p>
        </w:tc>
        <w:tc>
          <w:tcPr>
            <w:tcW w:type="dxa" w:w="3384"/>
            <w:tcMar>
              <w:top w:w="80" w:type="dxa"/>
              <w:start w:w="80" w:type="dxa"/>
              <w:bottom w:w="80" w:type="dxa"/>
              <w:end w:w="80" w:type="dxa"/>
            </w:tcMar>
            <w:vAlign w:val="top"/>
          </w:tcPr>
          <w:p>
            <w:pPr>
              <w:spacing w:after="0"/>
            </w:pPr>
            <w:r>
              <w:rPr>
                <w:sz w:val="16"/>
              </w:rPr>
              <w:t>Own profile and assigned services</w:t>
            </w:r>
          </w:p>
        </w:tc>
        <w:tc>
          <w:tcPr>
            <w:tcW w:type="dxa" w:w="4896"/>
            <w:tcMar>
              <w:top w:w="80" w:type="dxa"/>
              <w:start w:w="80" w:type="dxa"/>
              <w:bottom w:w="80" w:type="dxa"/>
              <w:end w:w="80" w:type="dxa"/>
            </w:tcMar>
            <w:vAlign w:val="top"/>
          </w:tcPr>
          <w:p>
            <w:pPr>
              <w:spacing w:after="0"/>
            </w:pPr>
            <w:r>
              <w:rPr>
                <w:sz w:val="16"/>
              </w:rPr>
              <w:t>Profile, agreements, training, messages, notifications, selected reports</w:t>
            </w:r>
          </w:p>
        </w:tc>
      </w:tr>
      <w:tr>
        <w:tc>
          <w:tcPr>
            <w:tcW w:type="dxa" w:w="1944"/>
            <w:tcMar>
              <w:top w:w="80" w:type="dxa"/>
              <w:start w:w="80" w:type="dxa"/>
              <w:bottom w:w="80" w:type="dxa"/>
              <w:end w:w="80" w:type="dxa"/>
            </w:tcMar>
            <w:vAlign w:val="top"/>
          </w:tcPr>
          <w:p>
            <w:pPr>
              <w:spacing w:after="0"/>
            </w:pPr>
            <w:r>
              <w:rPr>
                <w:sz w:val="16"/>
              </w:rPr>
              <w:t>Guardian</w:t>
            </w:r>
          </w:p>
        </w:tc>
        <w:tc>
          <w:tcPr>
            <w:tcW w:type="dxa" w:w="3384"/>
            <w:tcMar>
              <w:top w:w="80" w:type="dxa"/>
              <w:start w:w="80" w:type="dxa"/>
              <w:bottom w:w="80" w:type="dxa"/>
              <w:end w:w="80" w:type="dxa"/>
            </w:tcMar>
            <w:vAlign w:val="top"/>
          </w:tcPr>
          <w:p>
            <w:pPr>
              <w:spacing w:after="0"/>
            </w:pPr>
            <w:r>
              <w:rPr>
                <w:sz w:val="16"/>
              </w:rPr>
              <w:t>Academy-age player support when applicable</w:t>
            </w:r>
          </w:p>
        </w:tc>
        <w:tc>
          <w:tcPr>
            <w:tcW w:type="dxa" w:w="4896"/>
            <w:tcMar>
              <w:top w:w="80" w:type="dxa"/>
              <w:start w:w="80" w:type="dxa"/>
              <w:bottom w:w="80" w:type="dxa"/>
              <w:end w:w="80" w:type="dxa"/>
            </w:tcMar>
            <w:vAlign w:val="top"/>
          </w:tcPr>
          <w:p>
            <w:pPr>
              <w:spacing w:after="0"/>
            </w:pPr>
            <w:r>
              <w:rPr>
                <w:sz w:val="16"/>
              </w:rPr>
              <w:t>Limited child/player records and administrative actions</w:t>
            </w:r>
          </w:p>
        </w:tc>
      </w:tr>
      <w:tr>
        <w:tc>
          <w:tcPr>
            <w:tcW w:type="dxa" w:w="1944"/>
            <w:tcMar>
              <w:top w:w="80" w:type="dxa"/>
              <w:start w:w="80" w:type="dxa"/>
              <w:bottom w:w="80" w:type="dxa"/>
              <w:end w:w="80" w:type="dxa"/>
            </w:tcMar>
            <w:vAlign w:val="top"/>
          </w:tcPr>
          <w:p>
            <w:pPr>
              <w:spacing w:after="0"/>
            </w:pPr>
            <w:r>
              <w:rPr>
                <w:sz w:val="16"/>
              </w:rPr>
              <w:t>Platform Super Admin</w:t>
            </w:r>
          </w:p>
        </w:tc>
        <w:tc>
          <w:tcPr>
            <w:tcW w:type="dxa" w:w="3384"/>
            <w:tcMar>
              <w:top w:w="80" w:type="dxa"/>
              <w:start w:w="80" w:type="dxa"/>
              <w:bottom w:w="80" w:type="dxa"/>
              <w:end w:w="80" w:type="dxa"/>
            </w:tcMar>
            <w:vAlign w:val="top"/>
          </w:tcPr>
          <w:p>
            <w:pPr>
              <w:spacing w:after="0"/>
            </w:pPr>
            <w:r>
              <w:rPr>
                <w:sz w:val="16"/>
              </w:rPr>
              <w:t>SaaS operation</w:t>
            </w:r>
          </w:p>
        </w:tc>
        <w:tc>
          <w:tcPr>
            <w:tcW w:type="dxa" w:w="4896"/>
            <w:tcMar>
              <w:top w:w="80" w:type="dxa"/>
              <w:start w:w="80" w:type="dxa"/>
              <w:bottom w:w="80" w:type="dxa"/>
              <w:end w:w="80" w:type="dxa"/>
            </w:tcMar>
            <w:vAlign w:val="top"/>
          </w:tcPr>
          <w:p>
            <w:pPr>
              <w:spacing w:after="0"/>
            </w:pPr>
            <w:r>
              <w:rPr>
                <w:sz w:val="16"/>
              </w:rPr>
              <w:t>Tenants, platform health, support, security, configuration</w:t>
            </w:r>
          </w:p>
        </w:tc>
      </w:tr>
    </w:tbl>
    <w:p>
      <w:pPr>
        <w:spacing w:after="40"/>
      </w:pPr>
    </w:p>
    <w:p>
      <w:pPr>
        <w:pStyle w:val="Heading1"/>
      </w:pPr>
      <w:r>
        <w:t>5. Business Scope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75E"/>
            <w:tcMar>
              <w:top w:w="80" w:type="dxa"/>
              <w:start w:w="80" w:type="dxa"/>
              <w:bottom w:w="80" w:type="dxa"/>
              <w:end w:w="80" w:type="dxa"/>
            </w:tcMar>
            <w:vAlign w:val="center"/>
          </w:tcPr>
          <w:p>
            <w:r>
              <w:rPr>
                <w:b/>
                <w:color w:val="FFFFFF"/>
                <w:sz w:val="17"/>
              </w:rPr>
              <w:t>Capability</w:t>
            </w:r>
          </w:p>
        </w:tc>
        <w:tc>
          <w:tcPr>
            <w:tcW w:type="dxa" w:w="5040"/>
            <w:shd w:fill="17375E"/>
            <w:tcMar>
              <w:top w:w="80" w:type="dxa"/>
              <w:start w:w="80" w:type="dxa"/>
              <w:bottom w:w="80" w:type="dxa"/>
              <w:end w:w="80" w:type="dxa"/>
            </w:tcMar>
            <w:vAlign w:val="center"/>
          </w:tcPr>
          <w:p>
            <w:r>
              <w:rPr>
                <w:b/>
                <w:color w:val="FFFFFF"/>
                <w:sz w:val="17"/>
              </w:rPr>
              <w:t>In scope</w:t>
            </w:r>
          </w:p>
        </w:tc>
        <w:tc>
          <w:tcPr>
            <w:tcW w:type="dxa" w:w="3240"/>
            <w:shd w:fill="17375E"/>
            <w:tcMar>
              <w:top w:w="80" w:type="dxa"/>
              <w:start w:w="80" w:type="dxa"/>
              <w:bottom w:w="80" w:type="dxa"/>
              <w:end w:w="80" w:type="dxa"/>
            </w:tcMar>
            <w:vAlign w:val="center"/>
          </w:tcPr>
          <w:p>
            <w:r>
              <w:rPr>
                <w:b/>
                <w:color w:val="FFFFFF"/>
                <w:sz w:val="17"/>
              </w:rPr>
              <w:t>Business outcome</w:t>
            </w:r>
          </w:p>
        </w:tc>
      </w:tr>
      <w:tr>
        <w:tc>
          <w:tcPr>
            <w:tcW w:type="dxa" w:w="1944"/>
            <w:tcMar>
              <w:top w:w="80" w:type="dxa"/>
              <w:start w:w="80" w:type="dxa"/>
              <w:bottom w:w="80" w:type="dxa"/>
              <w:end w:w="80" w:type="dxa"/>
            </w:tcMar>
            <w:vAlign w:val="top"/>
          </w:tcPr>
          <w:p>
            <w:pPr>
              <w:spacing w:after="0"/>
            </w:pPr>
            <w:r>
              <w:rPr>
                <w:sz w:val="16"/>
              </w:rPr>
              <w:t>Player Management</w:t>
            </w:r>
          </w:p>
        </w:tc>
        <w:tc>
          <w:tcPr>
            <w:tcW w:type="dxa" w:w="5040"/>
            <w:tcMar>
              <w:top w:w="80" w:type="dxa"/>
              <w:start w:w="80" w:type="dxa"/>
              <w:bottom w:w="80" w:type="dxa"/>
              <w:end w:w="80" w:type="dxa"/>
            </w:tcMar>
            <w:vAlign w:val="top"/>
          </w:tcPr>
          <w:p>
            <w:pPr>
              <w:spacing w:after="0"/>
            </w:pPr>
            <w:r>
              <w:rPr>
                <w:sz w:val="16"/>
              </w:rPr>
              <w:t>Profiles, media, documents, statuses, identity and player dossier</w:t>
            </w:r>
          </w:p>
        </w:tc>
        <w:tc>
          <w:tcPr>
            <w:tcW w:type="dxa" w:w="3240"/>
            <w:tcMar>
              <w:top w:w="80" w:type="dxa"/>
              <w:start w:w="80" w:type="dxa"/>
              <w:bottom w:w="80" w:type="dxa"/>
              <w:end w:w="80" w:type="dxa"/>
            </w:tcMar>
            <w:vAlign w:val="top"/>
          </w:tcPr>
          <w:p>
            <w:pPr>
              <w:spacing w:after="0"/>
            </w:pPr>
            <w:r>
              <w:rPr>
                <w:sz w:val="16"/>
              </w:rPr>
              <w:t>Single source of truth and professional player representation</w:t>
            </w:r>
          </w:p>
        </w:tc>
      </w:tr>
      <w:tr>
        <w:tc>
          <w:tcPr>
            <w:tcW w:type="dxa" w:w="1944"/>
            <w:tcMar>
              <w:top w:w="80" w:type="dxa"/>
              <w:start w:w="80" w:type="dxa"/>
              <w:bottom w:w="80" w:type="dxa"/>
              <w:end w:w="80" w:type="dxa"/>
            </w:tcMar>
            <w:vAlign w:val="top"/>
          </w:tcPr>
          <w:p>
            <w:pPr>
              <w:spacing w:after="0"/>
            </w:pPr>
            <w:r>
              <w:rPr>
                <w:sz w:val="16"/>
              </w:rPr>
              <w:t>Contract Management</w:t>
            </w:r>
          </w:p>
        </w:tc>
        <w:tc>
          <w:tcPr>
            <w:tcW w:type="dxa" w:w="5040"/>
            <w:tcMar>
              <w:top w:w="80" w:type="dxa"/>
              <w:start w:w="80" w:type="dxa"/>
              <w:bottom w:w="80" w:type="dxa"/>
              <w:end w:w="80" w:type="dxa"/>
            </w:tcMar>
            <w:vAlign w:val="top"/>
          </w:tcPr>
          <w:p>
            <w:pPr>
              <w:spacing w:after="0"/>
            </w:pPr>
            <w:r>
              <w:rPr>
                <w:sz w:val="16"/>
              </w:rPr>
              <w:t>Draft/review/approval/sign/archive/version/expiry</w:t>
            </w:r>
          </w:p>
        </w:tc>
        <w:tc>
          <w:tcPr>
            <w:tcW w:type="dxa" w:w="3240"/>
            <w:tcMar>
              <w:top w:w="80" w:type="dxa"/>
              <w:start w:w="80" w:type="dxa"/>
              <w:bottom w:w="80" w:type="dxa"/>
              <w:end w:w="80" w:type="dxa"/>
            </w:tcMar>
            <w:vAlign w:val="top"/>
          </w:tcPr>
          <w:p>
            <w:pPr>
              <w:spacing w:after="0"/>
            </w:pPr>
            <w:r>
              <w:rPr>
                <w:sz w:val="16"/>
              </w:rPr>
              <w:t>Controlled lifecycle and fewer missed obligations</w:t>
            </w:r>
          </w:p>
        </w:tc>
      </w:tr>
      <w:tr>
        <w:tc>
          <w:tcPr>
            <w:tcW w:type="dxa" w:w="1944"/>
            <w:tcMar>
              <w:top w:w="80" w:type="dxa"/>
              <w:start w:w="80" w:type="dxa"/>
              <w:bottom w:w="80" w:type="dxa"/>
              <w:end w:w="80" w:type="dxa"/>
            </w:tcMar>
            <w:vAlign w:val="top"/>
          </w:tcPr>
          <w:p>
            <w:pPr>
              <w:spacing w:after="0"/>
            </w:pPr>
            <w:r>
              <w:rPr>
                <w:sz w:val="16"/>
              </w:rPr>
              <w:t>Legal Support</w:t>
            </w:r>
          </w:p>
        </w:tc>
        <w:tc>
          <w:tcPr>
            <w:tcW w:type="dxa" w:w="5040"/>
            <w:tcMar>
              <w:top w:w="80" w:type="dxa"/>
              <w:start w:w="80" w:type="dxa"/>
              <w:bottom w:w="80" w:type="dxa"/>
              <w:end w:w="80" w:type="dxa"/>
            </w:tcMar>
            <w:vAlign w:val="top"/>
          </w:tcPr>
          <w:p>
            <w:pPr>
              <w:spacing w:after="0"/>
            </w:pPr>
            <w:r>
              <w:rPr>
                <w:sz w:val="16"/>
              </w:rPr>
              <w:t>Tickets, assignment, notes, attachments, SLA visibility</w:t>
            </w:r>
          </w:p>
        </w:tc>
        <w:tc>
          <w:tcPr>
            <w:tcW w:type="dxa" w:w="3240"/>
            <w:tcMar>
              <w:top w:w="80" w:type="dxa"/>
              <w:start w:w="80" w:type="dxa"/>
              <w:bottom w:w="80" w:type="dxa"/>
              <w:end w:w="80" w:type="dxa"/>
            </w:tcMar>
            <w:vAlign w:val="top"/>
          </w:tcPr>
          <w:p>
            <w:pPr>
              <w:spacing w:after="0"/>
            </w:pPr>
            <w:r>
              <w:rPr>
                <w:sz w:val="16"/>
              </w:rPr>
              <w:t>Centralized legal case management</w:t>
            </w:r>
          </w:p>
        </w:tc>
      </w:tr>
      <w:tr>
        <w:tc>
          <w:tcPr>
            <w:tcW w:type="dxa" w:w="1944"/>
            <w:tcMar>
              <w:top w:w="80" w:type="dxa"/>
              <w:start w:w="80" w:type="dxa"/>
              <w:bottom w:w="80" w:type="dxa"/>
              <w:end w:w="80" w:type="dxa"/>
            </w:tcMar>
            <w:vAlign w:val="top"/>
          </w:tcPr>
          <w:p>
            <w:pPr>
              <w:spacing w:after="0"/>
            </w:pPr>
            <w:r>
              <w:rPr>
                <w:sz w:val="16"/>
              </w:rPr>
              <w:t>Scouting</w:t>
            </w:r>
          </w:p>
        </w:tc>
        <w:tc>
          <w:tcPr>
            <w:tcW w:type="dxa" w:w="5040"/>
            <w:tcMar>
              <w:top w:w="80" w:type="dxa"/>
              <w:start w:w="80" w:type="dxa"/>
              <w:bottom w:w="80" w:type="dxa"/>
              <w:end w:w="80" w:type="dxa"/>
            </w:tcMar>
            <w:vAlign w:val="top"/>
          </w:tcPr>
          <w:p>
            <w:pPr>
              <w:spacing w:after="0"/>
            </w:pPr>
            <w:r>
              <w:rPr>
                <w:sz w:val="16"/>
              </w:rPr>
              <w:t>Prospects, reports, assignments, watchlists, recommendations</w:t>
            </w:r>
          </w:p>
        </w:tc>
        <w:tc>
          <w:tcPr>
            <w:tcW w:type="dxa" w:w="3240"/>
            <w:tcMar>
              <w:top w:w="80" w:type="dxa"/>
              <w:start w:w="80" w:type="dxa"/>
              <w:bottom w:w="80" w:type="dxa"/>
              <w:end w:w="80" w:type="dxa"/>
            </w:tcMar>
            <w:vAlign w:val="top"/>
          </w:tcPr>
          <w:p>
            <w:pPr>
              <w:spacing w:after="0"/>
            </w:pPr>
            <w:r>
              <w:rPr>
                <w:sz w:val="16"/>
              </w:rPr>
              <w:t>Structured talent pipeline and institutional scouting knowledge</w:t>
            </w:r>
          </w:p>
        </w:tc>
      </w:tr>
      <w:tr>
        <w:tc>
          <w:tcPr>
            <w:tcW w:type="dxa" w:w="1944"/>
            <w:tcMar>
              <w:top w:w="80" w:type="dxa"/>
              <w:start w:w="80" w:type="dxa"/>
              <w:bottom w:w="80" w:type="dxa"/>
              <w:end w:w="80" w:type="dxa"/>
            </w:tcMar>
            <w:vAlign w:val="top"/>
          </w:tcPr>
          <w:p>
            <w:pPr>
              <w:spacing w:after="0"/>
            </w:pPr>
            <w:r>
              <w:rPr>
                <w:sz w:val="16"/>
              </w:rPr>
              <w:t>Performance</w:t>
            </w:r>
          </w:p>
        </w:tc>
        <w:tc>
          <w:tcPr>
            <w:tcW w:type="dxa" w:w="5040"/>
            <w:tcMar>
              <w:top w:w="80" w:type="dxa"/>
              <w:start w:w="80" w:type="dxa"/>
              <w:bottom w:w="80" w:type="dxa"/>
              <w:end w:w="80" w:type="dxa"/>
            </w:tcMar>
            <w:vAlign w:val="top"/>
          </w:tcPr>
          <w:p>
            <w:pPr>
              <w:spacing w:after="0"/>
            </w:pPr>
            <w:r>
              <w:rPr>
                <w:sz w:val="16"/>
              </w:rPr>
              <w:t>Match records, KPIs, ratings, trends, imports</w:t>
            </w:r>
          </w:p>
        </w:tc>
        <w:tc>
          <w:tcPr>
            <w:tcW w:type="dxa" w:w="3240"/>
            <w:tcMar>
              <w:top w:w="80" w:type="dxa"/>
              <w:start w:w="80" w:type="dxa"/>
              <w:bottom w:w="80" w:type="dxa"/>
              <w:end w:w="80" w:type="dxa"/>
            </w:tcMar>
            <w:vAlign w:val="top"/>
          </w:tcPr>
          <w:p>
            <w:pPr>
              <w:spacing w:after="0"/>
            </w:pPr>
            <w:r>
              <w:rPr>
                <w:sz w:val="16"/>
              </w:rPr>
              <w:t>Evidence-based performance reviews</w:t>
            </w:r>
          </w:p>
        </w:tc>
      </w:tr>
      <w:tr>
        <w:tc>
          <w:tcPr>
            <w:tcW w:type="dxa" w:w="1944"/>
            <w:tcMar>
              <w:top w:w="80" w:type="dxa"/>
              <w:start w:w="80" w:type="dxa"/>
              <w:bottom w:w="80" w:type="dxa"/>
              <w:end w:w="80" w:type="dxa"/>
            </w:tcMar>
            <w:vAlign w:val="top"/>
          </w:tcPr>
          <w:p>
            <w:pPr>
              <w:spacing w:after="0"/>
            </w:pPr>
            <w:r>
              <w:rPr>
                <w:sz w:val="16"/>
              </w:rPr>
              <w:t>Training &amp; Development</w:t>
            </w:r>
          </w:p>
        </w:tc>
        <w:tc>
          <w:tcPr>
            <w:tcW w:type="dxa" w:w="5040"/>
            <w:tcMar>
              <w:top w:w="80" w:type="dxa"/>
              <w:start w:w="80" w:type="dxa"/>
              <w:bottom w:w="80" w:type="dxa"/>
              <w:end w:w="80" w:type="dxa"/>
            </w:tcMar>
            <w:vAlign w:val="top"/>
          </w:tcPr>
          <w:p>
            <w:pPr>
              <w:spacing w:after="0"/>
            </w:pPr>
            <w:r>
              <w:rPr>
                <w:sz w:val="16"/>
              </w:rPr>
              <w:t>Programs, sessions, enrollment, payments, attendance, certificates</w:t>
            </w:r>
          </w:p>
        </w:tc>
        <w:tc>
          <w:tcPr>
            <w:tcW w:type="dxa" w:w="3240"/>
            <w:tcMar>
              <w:top w:w="80" w:type="dxa"/>
              <w:start w:w="80" w:type="dxa"/>
              <w:bottom w:w="80" w:type="dxa"/>
              <w:end w:w="80" w:type="dxa"/>
            </w:tcMar>
            <w:vAlign w:val="top"/>
          </w:tcPr>
          <w:p>
            <w:pPr>
              <w:spacing w:after="0"/>
            </w:pPr>
            <w:r>
              <w:rPr>
                <w:sz w:val="16"/>
              </w:rPr>
              <w:t>Operationalized player development</w:t>
            </w:r>
          </w:p>
        </w:tc>
      </w:tr>
      <w:tr>
        <w:tc>
          <w:tcPr>
            <w:tcW w:type="dxa" w:w="1944"/>
            <w:tcMar>
              <w:top w:w="80" w:type="dxa"/>
              <w:start w:w="80" w:type="dxa"/>
              <w:bottom w:w="80" w:type="dxa"/>
              <w:end w:w="80" w:type="dxa"/>
            </w:tcMar>
            <w:vAlign w:val="top"/>
          </w:tcPr>
          <w:p>
            <w:pPr>
              <w:spacing w:after="0"/>
            </w:pPr>
            <w:r>
              <w:rPr>
                <w:sz w:val="16"/>
              </w:rPr>
              <w:t>Medical &amp; Rehab</w:t>
            </w:r>
          </w:p>
        </w:tc>
        <w:tc>
          <w:tcPr>
            <w:tcW w:type="dxa" w:w="5040"/>
            <w:tcMar>
              <w:top w:w="80" w:type="dxa"/>
              <w:start w:w="80" w:type="dxa"/>
              <w:bottom w:w="80" w:type="dxa"/>
              <w:end w:w="80" w:type="dxa"/>
            </w:tcMar>
            <w:vAlign w:val="top"/>
          </w:tcPr>
          <w:p>
            <w:pPr>
              <w:spacing w:after="0"/>
            </w:pPr>
            <w:r>
              <w:rPr>
                <w:sz w:val="16"/>
              </w:rPr>
              <w:t>Injuries, records, treatments, return-to-play</w:t>
            </w:r>
          </w:p>
        </w:tc>
        <w:tc>
          <w:tcPr>
            <w:tcW w:type="dxa" w:w="3240"/>
            <w:tcMar>
              <w:top w:w="80" w:type="dxa"/>
              <w:start w:w="80" w:type="dxa"/>
              <w:bottom w:w="80" w:type="dxa"/>
              <w:end w:w="80" w:type="dxa"/>
            </w:tcMar>
            <w:vAlign w:val="top"/>
          </w:tcPr>
          <w:p>
            <w:pPr>
              <w:spacing w:after="0"/>
            </w:pPr>
            <w:r>
              <w:rPr>
                <w:sz w:val="16"/>
              </w:rPr>
              <w:t>Restricted and auditable health workflow</w:t>
            </w:r>
          </w:p>
        </w:tc>
      </w:tr>
      <w:tr>
        <w:tc>
          <w:tcPr>
            <w:tcW w:type="dxa" w:w="1944"/>
            <w:tcMar>
              <w:top w:w="80" w:type="dxa"/>
              <w:start w:w="80" w:type="dxa"/>
              <w:bottom w:w="80" w:type="dxa"/>
              <w:end w:w="80" w:type="dxa"/>
            </w:tcMar>
            <w:vAlign w:val="top"/>
          </w:tcPr>
          <w:p>
            <w:pPr>
              <w:spacing w:after="0"/>
            </w:pPr>
            <w:r>
              <w:rPr>
                <w:sz w:val="16"/>
              </w:rPr>
              <w:t>Communication</w:t>
            </w:r>
          </w:p>
        </w:tc>
        <w:tc>
          <w:tcPr>
            <w:tcW w:type="dxa" w:w="5040"/>
            <w:tcMar>
              <w:top w:w="80" w:type="dxa"/>
              <w:start w:w="80" w:type="dxa"/>
              <w:bottom w:w="80" w:type="dxa"/>
              <w:end w:w="80" w:type="dxa"/>
            </w:tcMar>
            <w:vAlign w:val="top"/>
          </w:tcPr>
          <w:p>
            <w:pPr>
              <w:spacing w:after="0"/>
            </w:pPr>
            <w:r>
              <w:rPr>
                <w:sz w:val="16"/>
              </w:rPr>
              <w:t>1:1/group chat, files, read states, notifications</w:t>
            </w:r>
          </w:p>
        </w:tc>
        <w:tc>
          <w:tcPr>
            <w:tcW w:type="dxa" w:w="3240"/>
            <w:tcMar>
              <w:top w:w="80" w:type="dxa"/>
              <w:start w:w="80" w:type="dxa"/>
              <w:bottom w:w="80" w:type="dxa"/>
              <w:end w:w="80" w:type="dxa"/>
            </w:tcMar>
            <w:vAlign w:val="top"/>
          </w:tcPr>
          <w:p>
            <w:pPr>
              <w:spacing w:after="0"/>
            </w:pPr>
            <w:r>
              <w:rPr>
                <w:sz w:val="16"/>
              </w:rPr>
              <w:t>Faster coordination and traceable communication</w:t>
            </w:r>
          </w:p>
        </w:tc>
      </w:tr>
      <w:tr>
        <w:tc>
          <w:tcPr>
            <w:tcW w:type="dxa" w:w="1944"/>
            <w:tcMar>
              <w:top w:w="80" w:type="dxa"/>
              <w:start w:w="80" w:type="dxa"/>
              <w:bottom w:w="80" w:type="dxa"/>
              <w:end w:w="80" w:type="dxa"/>
            </w:tcMar>
            <w:vAlign w:val="top"/>
          </w:tcPr>
          <w:p>
            <w:pPr>
              <w:spacing w:after="0"/>
            </w:pPr>
            <w:r>
              <w:rPr>
                <w:sz w:val="16"/>
              </w:rPr>
              <w:t>Documents</w:t>
            </w:r>
          </w:p>
        </w:tc>
        <w:tc>
          <w:tcPr>
            <w:tcW w:type="dxa" w:w="5040"/>
            <w:tcMar>
              <w:top w:w="80" w:type="dxa"/>
              <w:start w:w="80" w:type="dxa"/>
              <w:bottom w:w="80" w:type="dxa"/>
              <w:end w:w="80" w:type="dxa"/>
            </w:tcMar>
            <w:vAlign w:val="top"/>
          </w:tcPr>
          <w:p>
            <w:pPr>
              <w:spacing w:after="0"/>
            </w:pPr>
            <w:r>
              <w:rPr>
                <w:sz w:val="16"/>
              </w:rPr>
              <w:t>Centralized tenant-scoped document storage</w:t>
            </w:r>
          </w:p>
        </w:tc>
        <w:tc>
          <w:tcPr>
            <w:tcW w:type="dxa" w:w="3240"/>
            <w:tcMar>
              <w:top w:w="80" w:type="dxa"/>
              <w:start w:w="80" w:type="dxa"/>
              <w:bottom w:w="80" w:type="dxa"/>
              <w:end w:w="80" w:type="dxa"/>
            </w:tcMar>
            <w:vAlign w:val="top"/>
          </w:tcPr>
          <w:p>
            <w:pPr>
              <w:spacing w:after="0"/>
            </w:pPr>
            <w:r>
              <w:rPr>
                <w:sz w:val="16"/>
              </w:rPr>
              <w:t>Consistent evidence and retrieval</w:t>
            </w:r>
          </w:p>
        </w:tc>
      </w:tr>
      <w:tr>
        <w:tc>
          <w:tcPr>
            <w:tcW w:type="dxa" w:w="1944"/>
            <w:tcMar>
              <w:top w:w="80" w:type="dxa"/>
              <w:start w:w="80" w:type="dxa"/>
              <w:bottom w:w="80" w:type="dxa"/>
              <w:end w:w="80" w:type="dxa"/>
            </w:tcMar>
            <w:vAlign w:val="top"/>
          </w:tcPr>
          <w:p>
            <w:pPr>
              <w:spacing w:after="0"/>
            </w:pPr>
            <w:r>
              <w:rPr>
                <w:sz w:val="16"/>
              </w:rPr>
              <w:t>Access &amp; Audit</w:t>
            </w:r>
          </w:p>
        </w:tc>
        <w:tc>
          <w:tcPr>
            <w:tcW w:type="dxa" w:w="5040"/>
            <w:tcMar>
              <w:top w:w="80" w:type="dxa"/>
              <w:start w:w="80" w:type="dxa"/>
              <w:bottom w:w="80" w:type="dxa"/>
              <w:end w:w="80" w:type="dxa"/>
            </w:tcMar>
            <w:vAlign w:val="top"/>
          </w:tcPr>
          <w:p>
            <w:pPr>
              <w:spacing w:after="0"/>
            </w:pPr>
            <w:r>
              <w:rPr>
                <w:sz w:val="16"/>
              </w:rPr>
              <w:t>Roles, permissions, audit trail</w:t>
            </w:r>
          </w:p>
        </w:tc>
        <w:tc>
          <w:tcPr>
            <w:tcW w:type="dxa" w:w="3240"/>
            <w:tcMar>
              <w:top w:w="80" w:type="dxa"/>
              <w:start w:w="80" w:type="dxa"/>
              <w:bottom w:w="80" w:type="dxa"/>
              <w:end w:w="80" w:type="dxa"/>
            </w:tcMar>
            <w:vAlign w:val="top"/>
          </w:tcPr>
          <w:p>
            <w:pPr>
              <w:spacing w:after="0"/>
            </w:pPr>
            <w:r>
              <w:rPr>
                <w:sz w:val="16"/>
              </w:rPr>
              <w:t>Controlled data access and accountability</w:t>
            </w:r>
          </w:p>
        </w:tc>
      </w:tr>
      <w:tr>
        <w:tc>
          <w:tcPr>
            <w:tcW w:type="dxa" w:w="1944"/>
            <w:tcMar>
              <w:top w:w="80" w:type="dxa"/>
              <w:start w:w="80" w:type="dxa"/>
              <w:bottom w:w="80" w:type="dxa"/>
              <w:end w:w="80" w:type="dxa"/>
            </w:tcMar>
            <w:vAlign w:val="top"/>
          </w:tcPr>
          <w:p>
            <w:pPr>
              <w:spacing w:after="0"/>
            </w:pPr>
            <w:r>
              <w:rPr>
                <w:sz w:val="16"/>
              </w:rPr>
              <w:t>Reporting</w:t>
            </w:r>
          </w:p>
        </w:tc>
        <w:tc>
          <w:tcPr>
            <w:tcW w:type="dxa" w:w="5040"/>
            <w:tcMar>
              <w:top w:w="80" w:type="dxa"/>
              <w:start w:w="80" w:type="dxa"/>
              <w:bottom w:w="80" w:type="dxa"/>
              <w:end w:w="80" w:type="dxa"/>
            </w:tcMar>
            <w:vAlign w:val="top"/>
          </w:tcPr>
          <w:p>
            <w:pPr>
              <w:spacing w:after="0"/>
            </w:pPr>
            <w:r>
              <w:rPr>
                <w:sz w:val="16"/>
              </w:rPr>
              <w:t>Operational dashboards and exports</w:t>
            </w:r>
          </w:p>
        </w:tc>
        <w:tc>
          <w:tcPr>
            <w:tcW w:type="dxa" w:w="3240"/>
            <w:tcMar>
              <w:top w:w="80" w:type="dxa"/>
              <w:start w:w="80" w:type="dxa"/>
              <w:bottom w:w="80" w:type="dxa"/>
              <w:end w:w="80" w:type="dxa"/>
            </w:tcMar>
            <w:vAlign w:val="top"/>
          </w:tcPr>
          <w:p>
            <w:pPr>
              <w:spacing w:after="0"/>
            </w:pPr>
            <w:r>
              <w:rPr>
                <w:sz w:val="16"/>
              </w:rPr>
              <w:t>Management visibility and decision support</w:t>
            </w:r>
          </w:p>
        </w:tc>
      </w:tr>
    </w:tbl>
    <w:p>
      <w:pPr>
        <w:spacing w:after="40"/>
      </w:pPr>
    </w:p>
    <w:p>
      <w:pPr>
        <w:pStyle w:val="Heading1"/>
      </w:pPr>
      <w:r>
        <w:t>6. Out of Scope for Initial Release</w:t>
      </w:r>
    </w:p>
    <w:p>
      <w:pPr>
        <w:pStyle w:val="ListBullet"/>
        <w:spacing w:after="40"/>
      </w:pPr>
      <w:r>
        <w:t>Public marketplace or unrestricted player registration</w:t>
      </w:r>
    </w:p>
    <w:p>
      <w:pPr>
        <w:pStyle w:val="ListBullet"/>
        <w:spacing w:after="40"/>
      </w:pPr>
      <w:r>
        <w:t>Automated contract negotiation by AI</w:t>
      </w:r>
    </w:p>
    <w:p>
      <w:pPr>
        <w:pStyle w:val="ListBullet"/>
        <w:spacing w:after="40"/>
      </w:pPr>
      <w:r>
        <w:t>Medical diagnosis or autonomous clinical decision-making</w:t>
      </w:r>
    </w:p>
    <w:p>
      <w:pPr>
        <w:pStyle w:val="ListBullet"/>
        <w:spacing w:after="40"/>
      </w:pPr>
      <w:r>
        <w:t>Automated player valuation presented as factual without human review</w:t>
      </w:r>
    </w:p>
    <w:p>
      <w:pPr>
        <w:pStyle w:val="ListBullet"/>
        <w:spacing w:after="40"/>
      </w:pPr>
      <w:r>
        <w:t>Full accounting/payroll ERP replacement</w:t>
      </w:r>
    </w:p>
    <w:p>
      <w:pPr>
        <w:pStyle w:val="ListBullet"/>
        <w:spacing w:after="40"/>
      </w:pPr>
      <w:r>
        <w:t>Club-side portal with reciprocal workflow unless explicitly approved</w:t>
      </w:r>
    </w:p>
    <w:p>
      <w:pPr>
        <w:pStyle w:val="ListBullet"/>
        <w:spacing w:after="40"/>
      </w:pPr>
      <w:r>
        <w:t>Native mobile applications as a hard dependency for web launch</w:t>
      </w:r>
    </w:p>
    <w:p>
      <w:pPr>
        <w:pStyle w:val="ListBullet"/>
        <w:spacing w:after="40"/>
      </w:pPr>
      <w:r>
        <w:t>High-scale microservices decomposition before scale evidence exists</w:t>
      </w:r>
    </w:p>
    <w:p>
      <w:pPr>
        <w:pStyle w:val="Heading1"/>
      </w:pPr>
      <w:r>
        <w:t>7. Business Processes</w:t>
      </w:r>
    </w:p>
    <w:p>
      <w:pPr>
        <w:pStyle w:val="Heading2"/>
      </w:pPr>
      <w:r>
        <w:t>7.1 Player onboarding</w:t>
      </w:r>
    </w:p>
    <w:p>
      <w:r>
        <w:t>Lead/prospect identified -&gt; duplicate check -&gt; player profile created -&gt; required documents collected -&gt; initial sporting/medical/legal data entered -&gt; profile completeness review -&gt; player activated.</w:t>
      </w:r>
    </w:p>
    <w:p>
      <w:pPr>
        <w:pStyle w:val="Heading2"/>
      </w:pPr>
      <w:r>
        <w:t>7.2 Contract lifecycle</w:t>
      </w:r>
    </w:p>
    <w:p>
      <w:r>
        <w:t>Draft -&gt; legal review -&gt; approval workflow -&gt; signature -&gt; signed evidence stored -&gt; active monitoring -&gt; expiry notification -&gt; renewal/termination -&gt; archive.</w:t>
      </w:r>
    </w:p>
    <w:p>
      <w:pPr>
        <w:pStyle w:val="Heading2"/>
      </w:pPr>
      <w:r>
        <w:t>7.3 Scouting</w:t>
      </w:r>
    </w:p>
    <w:p>
      <w:r>
        <w:t>Assignment -&gt; scout observes -&gt; draft report -&gt; submit -&gt; sporting review -&gt; approve/reject -&gt; watchlist or player onboarding.</w:t>
      </w:r>
    </w:p>
    <w:p>
      <w:pPr>
        <w:pStyle w:val="Heading2"/>
      </w:pPr>
      <w:r>
        <w:t>7.4 Training</w:t>
      </w:r>
    </w:p>
    <w:p>
      <w:r>
        <w:t>Program created -&gt; sessions scheduled -&gt; publication -&gt; registration -&gt; capacity/payment checks -&gt; attendance -&gt; completion -&gt; certificate.</w:t>
      </w:r>
    </w:p>
    <w:p>
      <w:pPr>
        <w:pStyle w:val="Heading2"/>
      </w:pPr>
      <w:r>
        <w:t>7.5 Legal case</w:t>
      </w:r>
    </w:p>
    <w:p>
      <w:r>
        <w:t>Ticket created -&gt; priority/SLA -&gt; assigned -&gt; notes/evidence -&gt; review -&gt; resolved -&gt; closed -&gt; archive.</w:t>
      </w:r>
    </w:p>
    <w:p>
      <w:pPr>
        <w:pStyle w:val="Heading2"/>
      </w:pPr>
      <w:r>
        <w:t>7.6 Medical/rehab</w:t>
      </w:r>
    </w:p>
    <w:p>
      <w:r>
        <w:t>Record created -&gt; treatment sessions -&gt; progress notes -&gt; return-to-play assessment -&gt; closure; confidentiality enforced throughout.</w:t>
      </w:r>
    </w:p>
    <w:p>
      <w:pPr>
        <w:pStyle w:val="Heading2"/>
      </w:pPr>
      <w:r>
        <w:t>7.7 Performance evaluation</w:t>
      </w:r>
    </w:p>
    <w:p>
      <w:r>
        <w:t>Match/stat import or entry -&gt; validation -&gt; aggregate -&gt; review -&gt; rating -&gt; periodic comparison -&gt; report.</w:t>
      </w:r>
    </w:p>
    <w:p>
      <w:pPr>
        <w:pStyle w:val="Heading1"/>
      </w:pPr>
      <w:r>
        <w:t>8. Business Rules</w:t>
      </w:r>
    </w:p>
    <w:p>
      <w:pPr>
        <w:pStyle w:val="ListBullet"/>
        <w:spacing w:after="40"/>
      </w:pPr>
      <w:r>
        <w:t>BR-RULE-01: Every business record belongs to exactly one tenant unless explicitly designated platform-global reference data.</w:t>
      </w:r>
    </w:p>
    <w:p>
      <w:pPr>
        <w:pStyle w:val="ListBullet"/>
        <w:spacing w:after="40"/>
      </w:pPr>
      <w:r>
        <w:t>BR-RULE-02: Sensitive records (medical, legal-confidential, compensation/finance) require explicit role/policy authorization beyond basic tenant membership.</w:t>
      </w:r>
    </w:p>
    <w:p>
      <w:pPr>
        <w:pStyle w:val="ListBullet"/>
        <w:spacing w:after="40"/>
      </w:pPr>
      <w:r>
        <w:t>BR-RULE-03: Contract state changes are workflow-controlled and auditable; direct state mutation is not permitted for ordinary users.</w:t>
      </w:r>
    </w:p>
    <w:p>
      <w:pPr>
        <w:pStyle w:val="ListBullet"/>
        <w:spacing w:after="40"/>
      </w:pPr>
      <w:r>
        <w:t>BR-RULE-04: A contract cannot be considered signed unless the signature evidence meets the configured signature policy.</w:t>
      </w:r>
    </w:p>
    <w:p>
      <w:pPr>
        <w:pStyle w:val="ListBullet"/>
        <w:spacing w:after="40"/>
      </w:pPr>
      <w:r>
        <w:t>BR-RULE-05: Audit evidence must be append-only at the application level and must capture who, what, when, tenant, source context, and relevant before/after values where lawful.</w:t>
      </w:r>
    </w:p>
    <w:p>
      <w:pPr>
        <w:pStyle w:val="ListBullet"/>
        <w:spacing w:after="40"/>
      </w:pPr>
      <w:r>
        <w:t>BR-RULE-06: A player profile can only be shared externally through an explicit sharing operation with an approved data subset and expiry/revocation controls.</w:t>
      </w:r>
    </w:p>
    <w:p>
      <w:pPr>
        <w:pStyle w:val="ListBullet"/>
        <w:spacing w:after="40"/>
      </w:pPr>
      <w:r>
        <w:t>BR-RULE-07: Medical access is purpose-limited; non-medical users must never receive medical detail through ordinary player endpoints, exports, search, chat, logs or notifications.</w:t>
      </w:r>
    </w:p>
    <w:p>
      <w:pPr>
        <w:pStyle w:val="ListBullet"/>
        <w:spacing w:after="40"/>
      </w:pPr>
      <w:r>
        <w:t>BR-RULE-08: Training attendance is linked to a specific enrollment and session and cannot be duplicated for the same pair.</w:t>
      </w:r>
    </w:p>
    <w:p>
      <w:pPr>
        <w:pStyle w:val="ListBullet"/>
        <w:spacing w:after="40"/>
      </w:pPr>
      <w:r>
        <w:t>BR-RULE-09: Ratings are versioned against an approved rating scheme so historical scores remain interpretable after scoring changes.</w:t>
      </w:r>
    </w:p>
    <w:p>
      <w:pPr>
        <w:pStyle w:val="ListBullet"/>
        <w:spacing w:after="40"/>
      </w:pPr>
      <w:r>
        <w:t>BR-RULE-10: Notifications are advisory; business state is always determined by the authoritative workflow record, not by notification delivery state.</w:t>
      </w:r>
    </w:p>
    <w:p>
      <w:pPr>
        <w:pStyle w:val="ListBullet"/>
        <w:spacing w:after="40"/>
      </w:pPr>
      <w:r>
        <w:t>BR-RULE-11: Deleted/archived records remain recoverable according to retention policy, while audit records follow stricter immutability controls.</w:t>
      </w:r>
    </w:p>
    <w:p>
      <w:pPr>
        <w:pStyle w:val="ListBullet"/>
        <w:spacing w:after="40"/>
      </w:pPr>
      <w:r>
        <w:t>BR-RULE-12: The agency remains the owner/controller of its operational data; platform support personnel must use least-privilege support access with auditable elevation.</w:t>
      </w:r>
    </w:p>
    <w:p>
      <w:pPr>
        <w:pStyle w:val="Heading1"/>
      </w:pPr>
      <w:r>
        <w:t>9. Business KPIs and Success Measures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75E"/>
            <w:tcMar>
              <w:top w:w="80" w:type="dxa"/>
              <w:start w:w="80" w:type="dxa"/>
              <w:bottom w:w="80" w:type="dxa"/>
              <w:end w:w="80" w:type="dxa"/>
            </w:tcMar>
            <w:vAlign w:val="center"/>
          </w:tcPr>
          <w:p>
            <w:r>
              <w:rPr>
                <w:b/>
                <w:color w:val="FFFFFF"/>
                <w:sz w:val="17"/>
              </w:rPr>
              <w:t>KPI</w:t>
            </w:r>
          </w:p>
        </w:tc>
        <w:tc>
          <w:tcPr>
            <w:tcW w:type="dxa" w:w="6048"/>
            <w:shd w:fill="17375E"/>
            <w:tcMar>
              <w:top w:w="80" w:type="dxa"/>
              <w:start w:w="80" w:type="dxa"/>
              <w:bottom w:w="80" w:type="dxa"/>
              <w:end w:w="80" w:type="dxa"/>
            </w:tcMar>
            <w:vAlign w:val="center"/>
          </w:tcPr>
          <w:p>
            <w:r>
              <w:rPr>
                <w:b/>
                <w:color w:val="FFFFFF"/>
                <w:sz w:val="17"/>
              </w:rPr>
              <w:t>Definition</w:t>
            </w:r>
          </w:p>
        </w:tc>
        <w:tc>
          <w:tcPr>
            <w:tcW w:type="dxa" w:w="1800"/>
            <w:shd w:fill="17375E"/>
            <w:tcMar>
              <w:top w:w="80" w:type="dxa"/>
              <w:start w:w="80" w:type="dxa"/>
              <w:bottom w:w="80" w:type="dxa"/>
              <w:end w:w="80" w:type="dxa"/>
            </w:tcMar>
            <w:vAlign w:val="center"/>
          </w:tcPr>
          <w:p>
            <w:r>
              <w:rPr>
                <w:b/>
                <w:color w:val="FFFFFF"/>
                <w:sz w:val="17"/>
              </w:rPr>
              <w:t>Target direction</w:t>
            </w:r>
          </w:p>
        </w:tc>
      </w:tr>
      <w:tr>
        <w:tc>
          <w:tcPr>
            <w:tcW w:type="dxa" w:w="2232"/>
            <w:tcMar>
              <w:top w:w="80" w:type="dxa"/>
              <w:start w:w="80" w:type="dxa"/>
              <w:bottom w:w="80" w:type="dxa"/>
              <w:end w:w="80" w:type="dxa"/>
            </w:tcMar>
            <w:vAlign w:val="top"/>
          </w:tcPr>
          <w:p>
            <w:pPr>
              <w:spacing w:after="0"/>
            </w:pPr>
            <w:r>
              <w:rPr>
                <w:sz w:val="16"/>
              </w:rPr>
              <w:t>Player profile completeness</w:t>
            </w:r>
          </w:p>
        </w:tc>
        <w:tc>
          <w:tcPr>
            <w:tcW w:type="dxa" w:w="6048"/>
            <w:tcMar>
              <w:top w:w="80" w:type="dxa"/>
              <w:start w:w="80" w:type="dxa"/>
              <w:bottom w:w="80" w:type="dxa"/>
              <w:end w:w="80" w:type="dxa"/>
            </w:tcMar>
            <w:vAlign w:val="top"/>
          </w:tcPr>
          <w:p>
            <w:pPr>
              <w:spacing w:after="0"/>
            </w:pPr>
            <w:r>
              <w:rPr>
                <w:sz w:val="16"/>
              </w:rPr>
              <w:t>Required profile fields completed / total required fields</w:t>
            </w:r>
          </w:p>
        </w:tc>
        <w:tc>
          <w:tcPr>
            <w:tcW w:type="dxa" w:w="1800"/>
            <w:tcMar>
              <w:top w:w="80" w:type="dxa"/>
              <w:start w:w="80" w:type="dxa"/>
              <w:bottom w:w="80" w:type="dxa"/>
              <w:end w:w="80" w:type="dxa"/>
            </w:tcMar>
            <w:vAlign w:val="top"/>
          </w:tcPr>
          <w:p>
            <w:pPr>
              <w:spacing w:after="0"/>
            </w:pPr>
            <w:r>
              <w:rPr>
                <w:sz w:val="16"/>
              </w:rPr>
              <w:t>Increase; define threshold per lifecycle stage</w:t>
            </w:r>
          </w:p>
        </w:tc>
      </w:tr>
      <w:tr>
        <w:tc>
          <w:tcPr>
            <w:tcW w:type="dxa" w:w="2232"/>
            <w:tcMar>
              <w:top w:w="80" w:type="dxa"/>
              <w:start w:w="80" w:type="dxa"/>
              <w:bottom w:w="80" w:type="dxa"/>
              <w:end w:w="80" w:type="dxa"/>
            </w:tcMar>
            <w:vAlign w:val="top"/>
          </w:tcPr>
          <w:p>
            <w:pPr>
              <w:spacing w:after="0"/>
            </w:pPr>
            <w:r>
              <w:rPr>
                <w:sz w:val="16"/>
              </w:rPr>
              <w:t>Contract deadline compliance</w:t>
            </w:r>
          </w:p>
        </w:tc>
        <w:tc>
          <w:tcPr>
            <w:tcW w:type="dxa" w:w="6048"/>
            <w:tcMar>
              <w:top w:w="80" w:type="dxa"/>
              <w:start w:w="80" w:type="dxa"/>
              <w:bottom w:w="80" w:type="dxa"/>
              <w:end w:w="80" w:type="dxa"/>
            </w:tcMar>
            <w:vAlign w:val="top"/>
          </w:tcPr>
          <w:p>
            <w:pPr>
              <w:spacing w:after="0"/>
            </w:pPr>
            <w:r>
              <w:rPr>
                <w:sz w:val="16"/>
              </w:rPr>
              <w:t>Contracts with required actions completed before deadline</w:t>
            </w:r>
          </w:p>
        </w:tc>
        <w:tc>
          <w:tcPr>
            <w:tcW w:type="dxa" w:w="1800"/>
            <w:tcMar>
              <w:top w:w="80" w:type="dxa"/>
              <w:start w:w="80" w:type="dxa"/>
              <w:bottom w:w="80" w:type="dxa"/>
              <w:end w:w="80" w:type="dxa"/>
            </w:tcMar>
            <w:vAlign w:val="top"/>
          </w:tcPr>
          <w:p>
            <w:pPr>
              <w:spacing w:after="0"/>
            </w:pPr>
            <w:r>
              <w:rPr>
                <w:sz w:val="16"/>
              </w:rPr>
              <w:t>&gt;= 98% internal target after stabilization</w:t>
            </w:r>
          </w:p>
        </w:tc>
      </w:tr>
      <w:tr>
        <w:tc>
          <w:tcPr>
            <w:tcW w:type="dxa" w:w="2232"/>
            <w:tcMar>
              <w:top w:w="80" w:type="dxa"/>
              <w:start w:w="80" w:type="dxa"/>
              <w:bottom w:w="80" w:type="dxa"/>
              <w:end w:w="80" w:type="dxa"/>
            </w:tcMar>
            <w:vAlign w:val="top"/>
          </w:tcPr>
          <w:p>
            <w:pPr>
              <w:spacing w:after="0"/>
            </w:pPr>
            <w:r>
              <w:rPr>
                <w:sz w:val="16"/>
              </w:rPr>
              <w:t>Legal SLA compliance</w:t>
            </w:r>
          </w:p>
        </w:tc>
        <w:tc>
          <w:tcPr>
            <w:tcW w:type="dxa" w:w="6048"/>
            <w:tcMar>
              <w:top w:w="80" w:type="dxa"/>
              <w:start w:w="80" w:type="dxa"/>
              <w:bottom w:w="80" w:type="dxa"/>
              <w:end w:w="80" w:type="dxa"/>
            </w:tcMar>
            <w:vAlign w:val="top"/>
          </w:tcPr>
          <w:p>
            <w:pPr>
              <w:spacing w:after="0"/>
            </w:pPr>
            <w:r>
              <w:rPr>
                <w:sz w:val="16"/>
              </w:rPr>
              <w:t>Tickets resolved within configured SLA</w:t>
            </w:r>
          </w:p>
        </w:tc>
        <w:tc>
          <w:tcPr>
            <w:tcW w:type="dxa" w:w="1800"/>
            <w:tcMar>
              <w:top w:w="80" w:type="dxa"/>
              <w:start w:w="80" w:type="dxa"/>
              <w:bottom w:w="80" w:type="dxa"/>
              <w:end w:w="80" w:type="dxa"/>
            </w:tcMar>
            <w:vAlign w:val="top"/>
          </w:tcPr>
          <w:p>
            <w:pPr>
              <w:spacing w:after="0"/>
            </w:pPr>
            <w:r>
              <w:rPr>
                <w:sz w:val="16"/>
              </w:rPr>
              <w:t>&gt;= 95% by priority band</w:t>
            </w:r>
          </w:p>
        </w:tc>
      </w:tr>
      <w:tr>
        <w:tc>
          <w:tcPr>
            <w:tcW w:type="dxa" w:w="2232"/>
            <w:tcMar>
              <w:top w:w="80" w:type="dxa"/>
              <w:start w:w="80" w:type="dxa"/>
              <w:bottom w:w="80" w:type="dxa"/>
              <w:end w:w="80" w:type="dxa"/>
            </w:tcMar>
            <w:vAlign w:val="top"/>
          </w:tcPr>
          <w:p>
            <w:pPr>
              <w:spacing w:after="0"/>
            </w:pPr>
            <w:r>
              <w:rPr>
                <w:sz w:val="16"/>
              </w:rPr>
              <w:t>Training attendance visibility</w:t>
            </w:r>
          </w:p>
        </w:tc>
        <w:tc>
          <w:tcPr>
            <w:tcW w:type="dxa" w:w="6048"/>
            <w:tcMar>
              <w:top w:w="80" w:type="dxa"/>
              <w:start w:w="80" w:type="dxa"/>
              <w:bottom w:w="80" w:type="dxa"/>
              <w:end w:w="80" w:type="dxa"/>
            </w:tcMar>
            <w:vAlign w:val="top"/>
          </w:tcPr>
          <w:p>
            <w:pPr>
              <w:spacing w:after="0"/>
            </w:pPr>
            <w:r>
              <w:rPr>
                <w:sz w:val="16"/>
              </w:rPr>
              <w:t>Sessions with attendance recorded by end of day</w:t>
            </w:r>
          </w:p>
        </w:tc>
        <w:tc>
          <w:tcPr>
            <w:tcW w:type="dxa" w:w="1800"/>
            <w:tcMar>
              <w:top w:w="80" w:type="dxa"/>
              <w:start w:w="80" w:type="dxa"/>
              <w:bottom w:w="80" w:type="dxa"/>
              <w:end w:w="80" w:type="dxa"/>
            </w:tcMar>
            <w:vAlign w:val="top"/>
          </w:tcPr>
          <w:p>
            <w:pPr>
              <w:spacing w:after="0"/>
            </w:pPr>
            <w:r>
              <w:rPr>
                <w:sz w:val="16"/>
              </w:rPr>
              <w:t>&gt;= 98%</w:t>
            </w:r>
          </w:p>
        </w:tc>
      </w:tr>
      <w:tr>
        <w:tc>
          <w:tcPr>
            <w:tcW w:type="dxa" w:w="2232"/>
            <w:tcMar>
              <w:top w:w="80" w:type="dxa"/>
              <w:start w:w="80" w:type="dxa"/>
              <w:bottom w:w="80" w:type="dxa"/>
              <w:end w:w="80" w:type="dxa"/>
            </w:tcMar>
            <w:vAlign w:val="top"/>
          </w:tcPr>
          <w:p>
            <w:pPr>
              <w:spacing w:after="0"/>
            </w:pPr>
            <w:r>
              <w:rPr>
                <w:sz w:val="16"/>
              </w:rPr>
              <w:t>Data quality</w:t>
            </w:r>
          </w:p>
        </w:tc>
        <w:tc>
          <w:tcPr>
            <w:tcW w:type="dxa" w:w="6048"/>
            <w:tcMar>
              <w:top w:w="80" w:type="dxa"/>
              <w:start w:w="80" w:type="dxa"/>
              <w:bottom w:w="80" w:type="dxa"/>
              <w:end w:w="80" w:type="dxa"/>
            </w:tcMar>
            <w:vAlign w:val="top"/>
          </w:tcPr>
          <w:p>
            <w:pPr>
              <w:spacing w:after="0"/>
            </w:pPr>
            <w:r>
              <w:rPr>
                <w:sz w:val="16"/>
              </w:rPr>
              <w:t>Validated records without critical integrity errors</w:t>
            </w:r>
          </w:p>
        </w:tc>
        <w:tc>
          <w:tcPr>
            <w:tcW w:type="dxa" w:w="1800"/>
            <w:tcMar>
              <w:top w:w="80" w:type="dxa"/>
              <w:start w:w="80" w:type="dxa"/>
              <w:bottom w:w="80" w:type="dxa"/>
              <w:end w:w="80" w:type="dxa"/>
            </w:tcMar>
            <w:vAlign w:val="top"/>
          </w:tcPr>
          <w:p>
            <w:pPr>
              <w:spacing w:after="0"/>
            </w:pPr>
            <w:r>
              <w:rPr>
                <w:sz w:val="16"/>
              </w:rPr>
              <w:t>&gt;= 99.5%</w:t>
            </w:r>
          </w:p>
        </w:tc>
      </w:tr>
      <w:tr>
        <w:tc>
          <w:tcPr>
            <w:tcW w:type="dxa" w:w="2232"/>
            <w:tcMar>
              <w:top w:w="80" w:type="dxa"/>
              <w:start w:w="80" w:type="dxa"/>
              <w:bottom w:w="80" w:type="dxa"/>
              <w:end w:w="80" w:type="dxa"/>
            </w:tcMar>
            <w:vAlign w:val="top"/>
          </w:tcPr>
          <w:p>
            <w:pPr>
              <w:spacing w:after="0"/>
            </w:pPr>
            <w:r>
              <w:rPr>
                <w:sz w:val="16"/>
              </w:rPr>
              <w:t>Notification delivery success</w:t>
            </w:r>
          </w:p>
        </w:tc>
        <w:tc>
          <w:tcPr>
            <w:tcW w:type="dxa" w:w="6048"/>
            <w:tcMar>
              <w:top w:w="80" w:type="dxa"/>
              <w:start w:w="80" w:type="dxa"/>
              <w:bottom w:w="80" w:type="dxa"/>
              <w:end w:w="80" w:type="dxa"/>
            </w:tcMar>
            <w:vAlign w:val="top"/>
          </w:tcPr>
          <w:p>
            <w:pPr>
              <w:spacing w:after="0"/>
            </w:pPr>
            <w:r>
              <w:rPr>
                <w:sz w:val="16"/>
              </w:rPr>
              <w:t>Accepted provider/in-app deliveries / attempted deliveries</w:t>
            </w:r>
          </w:p>
        </w:tc>
        <w:tc>
          <w:tcPr>
            <w:tcW w:type="dxa" w:w="1800"/>
            <w:tcMar>
              <w:top w:w="80" w:type="dxa"/>
              <w:start w:w="80" w:type="dxa"/>
              <w:bottom w:w="80" w:type="dxa"/>
              <w:end w:w="80" w:type="dxa"/>
            </w:tcMar>
            <w:vAlign w:val="top"/>
          </w:tcPr>
          <w:p>
            <w:pPr>
              <w:spacing w:after="0"/>
            </w:pPr>
            <w:r>
              <w:rPr>
                <w:sz w:val="16"/>
              </w:rPr>
              <w:t>&gt;= 99% for supported channels</w:t>
            </w:r>
          </w:p>
        </w:tc>
      </w:tr>
      <w:tr>
        <w:tc>
          <w:tcPr>
            <w:tcW w:type="dxa" w:w="2232"/>
            <w:tcMar>
              <w:top w:w="80" w:type="dxa"/>
              <w:start w:w="80" w:type="dxa"/>
              <w:bottom w:w="80" w:type="dxa"/>
              <w:end w:w="80" w:type="dxa"/>
            </w:tcMar>
            <w:vAlign w:val="top"/>
          </w:tcPr>
          <w:p>
            <w:pPr>
              <w:spacing w:after="0"/>
            </w:pPr>
            <w:r>
              <w:rPr>
                <w:sz w:val="16"/>
              </w:rPr>
              <w:t>Platform availability</w:t>
            </w:r>
          </w:p>
        </w:tc>
        <w:tc>
          <w:tcPr>
            <w:tcW w:type="dxa" w:w="6048"/>
            <w:tcMar>
              <w:top w:w="80" w:type="dxa"/>
              <w:start w:w="80" w:type="dxa"/>
              <w:bottom w:w="80" w:type="dxa"/>
              <w:end w:w="80" w:type="dxa"/>
            </w:tcMar>
            <w:vAlign w:val="top"/>
          </w:tcPr>
          <w:p>
            <w:pPr>
              <w:spacing w:after="0"/>
            </w:pPr>
            <w:r>
              <w:rPr>
                <w:sz w:val="16"/>
              </w:rPr>
              <w:t>Service availability excluding approved maintenance</w:t>
            </w:r>
          </w:p>
        </w:tc>
        <w:tc>
          <w:tcPr>
            <w:tcW w:type="dxa" w:w="1800"/>
            <w:tcMar>
              <w:top w:w="80" w:type="dxa"/>
              <w:start w:w="80" w:type="dxa"/>
              <w:bottom w:w="80" w:type="dxa"/>
              <w:end w:w="80" w:type="dxa"/>
            </w:tcMar>
            <w:vAlign w:val="top"/>
          </w:tcPr>
          <w:p>
            <w:pPr>
              <w:spacing w:after="0"/>
            </w:pPr>
            <w:r>
              <w:rPr>
                <w:sz w:val="16"/>
              </w:rPr>
              <w:t>&gt;= 99.9% target</w:t>
            </w:r>
          </w:p>
        </w:tc>
      </w:tr>
      <w:tr>
        <w:tc>
          <w:tcPr>
            <w:tcW w:type="dxa" w:w="2232"/>
            <w:tcMar>
              <w:top w:w="80" w:type="dxa"/>
              <w:start w:w="80" w:type="dxa"/>
              <w:bottom w:w="80" w:type="dxa"/>
              <w:end w:w="80" w:type="dxa"/>
            </w:tcMar>
            <w:vAlign w:val="top"/>
          </w:tcPr>
          <w:p>
            <w:pPr>
              <w:spacing w:after="0"/>
            </w:pPr>
            <w:r>
              <w:rPr>
                <w:sz w:val="16"/>
              </w:rPr>
              <w:t>Search success</w:t>
            </w:r>
          </w:p>
        </w:tc>
        <w:tc>
          <w:tcPr>
            <w:tcW w:type="dxa" w:w="6048"/>
            <w:tcMar>
              <w:top w:w="80" w:type="dxa"/>
              <w:start w:w="80" w:type="dxa"/>
              <w:bottom w:w="80" w:type="dxa"/>
              <w:end w:w="80" w:type="dxa"/>
            </w:tcMar>
            <w:vAlign w:val="top"/>
          </w:tcPr>
          <w:p>
            <w:pPr>
              <w:spacing w:after="0"/>
            </w:pPr>
            <w:r>
              <w:rPr>
                <w:sz w:val="16"/>
              </w:rPr>
              <w:t>Users finding intended record within first attempt</w:t>
            </w:r>
          </w:p>
        </w:tc>
        <w:tc>
          <w:tcPr>
            <w:tcW w:type="dxa" w:w="1800"/>
            <w:tcMar>
              <w:top w:w="80" w:type="dxa"/>
              <w:start w:w="80" w:type="dxa"/>
              <w:bottom w:w="80" w:type="dxa"/>
              <w:end w:w="80" w:type="dxa"/>
            </w:tcMar>
            <w:vAlign w:val="top"/>
          </w:tcPr>
          <w:p>
            <w:pPr>
              <w:spacing w:after="0"/>
            </w:pPr>
            <w:r>
              <w:rPr>
                <w:sz w:val="16"/>
              </w:rPr>
              <w:t>&gt;= 90% in usability testing</w:t>
            </w:r>
          </w:p>
        </w:tc>
      </w:tr>
      <w:tr>
        <w:tc>
          <w:tcPr>
            <w:tcW w:type="dxa" w:w="2232"/>
            <w:tcMar>
              <w:top w:w="80" w:type="dxa"/>
              <w:start w:w="80" w:type="dxa"/>
              <w:bottom w:w="80" w:type="dxa"/>
              <w:end w:w="80" w:type="dxa"/>
            </w:tcMar>
            <w:vAlign w:val="top"/>
          </w:tcPr>
          <w:p>
            <w:pPr>
              <w:spacing w:after="0"/>
            </w:pPr>
            <w:r>
              <w:rPr>
                <w:sz w:val="16"/>
              </w:rPr>
              <w:t>Time to produce player dossier</w:t>
            </w:r>
          </w:p>
        </w:tc>
        <w:tc>
          <w:tcPr>
            <w:tcW w:type="dxa" w:w="6048"/>
            <w:tcMar>
              <w:top w:w="80" w:type="dxa"/>
              <w:start w:w="80" w:type="dxa"/>
              <w:bottom w:w="80" w:type="dxa"/>
              <w:end w:w="80" w:type="dxa"/>
            </w:tcMar>
            <w:vAlign w:val="top"/>
          </w:tcPr>
          <w:p>
            <w:pPr>
              <w:spacing w:after="0"/>
            </w:pPr>
            <w:r>
              <w:rPr>
                <w:sz w:val="16"/>
              </w:rPr>
              <w:t>Median time to assemble current approved profile package</w:t>
            </w:r>
          </w:p>
        </w:tc>
        <w:tc>
          <w:tcPr>
            <w:tcW w:type="dxa" w:w="1800"/>
            <w:tcMar>
              <w:top w:w="80" w:type="dxa"/>
              <w:start w:w="80" w:type="dxa"/>
              <w:bottom w:w="80" w:type="dxa"/>
              <w:end w:w="80" w:type="dxa"/>
            </w:tcMar>
            <w:vAlign w:val="top"/>
          </w:tcPr>
          <w:p>
            <w:pPr>
              <w:spacing w:after="0"/>
            </w:pPr>
            <w:r>
              <w:rPr>
                <w:sz w:val="16"/>
              </w:rPr>
              <w:t>Reduce materially vs manual baseline</w:t>
            </w:r>
          </w:p>
        </w:tc>
      </w:tr>
      <w:tr>
        <w:tc>
          <w:tcPr>
            <w:tcW w:type="dxa" w:w="2232"/>
            <w:tcMar>
              <w:top w:w="80" w:type="dxa"/>
              <w:start w:w="80" w:type="dxa"/>
              <w:bottom w:w="80" w:type="dxa"/>
              <w:end w:w="80" w:type="dxa"/>
            </w:tcMar>
            <w:vAlign w:val="top"/>
          </w:tcPr>
          <w:p>
            <w:pPr>
              <w:spacing w:after="0"/>
            </w:pPr>
            <w:r>
              <w:rPr>
                <w:sz w:val="16"/>
              </w:rPr>
              <w:t>Security incidents</w:t>
            </w:r>
          </w:p>
        </w:tc>
        <w:tc>
          <w:tcPr>
            <w:tcW w:type="dxa" w:w="6048"/>
            <w:tcMar>
              <w:top w:w="80" w:type="dxa"/>
              <w:start w:w="80" w:type="dxa"/>
              <w:bottom w:w="80" w:type="dxa"/>
              <w:end w:w="80" w:type="dxa"/>
            </w:tcMar>
            <w:vAlign w:val="top"/>
          </w:tcPr>
          <w:p>
            <w:pPr>
              <w:spacing w:after="0"/>
            </w:pPr>
            <w:r>
              <w:rPr>
                <w:sz w:val="16"/>
              </w:rPr>
              <w:t>Confirmed tenant-isolation or unauthorized-access incidents</w:t>
            </w:r>
          </w:p>
        </w:tc>
        <w:tc>
          <w:tcPr>
            <w:tcW w:type="dxa" w:w="1800"/>
            <w:tcMar>
              <w:top w:w="80" w:type="dxa"/>
              <w:start w:w="80" w:type="dxa"/>
              <w:bottom w:w="80" w:type="dxa"/>
              <w:end w:w="80" w:type="dxa"/>
            </w:tcMar>
            <w:vAlign w:val="top"/>
          </w:tcPr>
          <w:p>
            <w:pPr>
              <w:spacing w:after="0"/>
            </w:pPr>
            <w:r>
              <w:rPr>
                <w:sz w:val="16"/>
              </w:rPr>
              <w:t>Zero tolerated</w:t>
            </w:r>
          </w:p>
        </w:tc>
      </w:tr>
    </w:tbl>
    <w:p>
      <w:pPr>
        <w:spacing w:after="40"/>
      </w:pPr>
    </w:p>
    <w:p>
      <w:pPr>
        <w:pStyle w:val="Heading1"/>
      </w:pPr>
      <w:r>
        <w:t>10. Business Risks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7375E"/>
            <w:tcMar>
              <w:top w:w="80" w:type="dxa"/>
              <w:start w:w="80" w:type="dxa"/>
              <w:bottom w:w="80" w:type="dxa"/>
              <w:end w:w="80" w:type="dxa"/>
            </w:tcMar>
            <w:vAlign w:val="center"/>
          </w:tcPr>
          <w:p>
            <w:r>
              <w:rPr>
                <w:b/>
                <w:color w:val="FFFFFF"/>
                <w:sz w:val="17"/>
              </w:rPr>
              <w:t>Risk</w:t>
            </w:r>
          </w:p>
        </w:tc>
        <w:tc>
          <w:tcPr>
            <w:tcW w:type="dxa" w:w="3744"/>
            <w:shd w:fill="17375E"/>
            <w:tcMar>
              <w:top w:w="80" w:type="dxa"/>
              <w:start w:w="80" w:type="dxa"/>
              <w:bottom w:w="80" w:type="dxa"/>
              <w:end w:w="80" w:type="dxa"/>
            </w:tcMar>
            <w:vAlign w:val="center"/>
          </w:tcPr>
          <w:p>
            <w:r>
              <w:rPr>
                <w:b/>
                <w:color w:val="FFFFFF"/>
                <w:sz w:val="17"/>
              </w:rPr>
              <w:t>Business impact</w:t>
            </w:r>
          </w:p>
        </w:tc>
        <w:tc>
          <w:tcPr>
            <w:tcW w:type="dxa" w:w="4176"/>
            <w:shd w:fill="17375E"/>
            <w:tcMar>
              <w:top w:w="80" w:type="dxa"/>
              <w:start w:w="80" w:type="dxa"/>
              <w:bottom w:w="80" w:type="dxa"/>
              <w:end w:w="80" w:type="dxa"/>
            </w:tcMar>
            <w:vAlign w:val="center"/>
          </w:tcPr>
          <w:p>
            <w:r>
              <w:rPr>
                <w:b/>
                <w:color w:val="FFFFFF"/>
                <w:sz w:val="17"/>
              </w:rPr>
              <w:t>Mitigation</w:t>
            </w:r>
          </w:p>
        </w:tc>
      </w:tr>
      <w:tr>
        <w:tc>
          <w:tcPr>
            <w:tcW w:type="dxa" w:w="2160"/>
            <w:tcMar>
              <w:top w:w="80" w:type="dxa"/>
              <w:start w:w="80" w:type="dxa"/>
              <w:bottom w:w="80" w:type="dxa"/>
              <w:end w:w="80" w:type="dxa"/>
            </w:tcMar>
            <w:vAlign w:val="top"/>
          </w:tcPr>
          <w:p>
            <w:pPr>
              <w:spacing w:after="0"/>
            </w:pPr>
            <w:r>
              <w:rPr>
                <w:sz w:val="16"/>
              </w:rPr>
              <w:t>Tenant data leakage</w:t>
            </w:r>
          </w:p>
        </w:tc>
        <w:tc>
          <w:tcPr>
            <w:tcW w:type="dxa" w:w="3744"/>
            <w:tcMar>
              <w:top w:w="80" w:type="dxa"/>
              <w:start w:w="80" w:type="dxa"/>
              <w:bottom w:w="80" w:type="dxa"/>
              <w:end w:w="80" w:type="dxa"/>
            </w:tcMar>
            <w:vAlign w:val="top"/>
          </w:tcPr>
          <w:p>
            <w:pPr>
              <w:spacing w:after="0"/>
            </w:pPr>
            <w:r>
              <w:rPr>
                <w:sz w:val="16"/>
              </w:rPr>
              <w:t>Critical reputational/legal impact</w:t>
            </w:r>
          </w:p>
        </w:tc>
        <w:tc>
          <w:tcPr>
            <w:tcW w:type="dxa" w:w="4176"/>
            <w:tcMar>
              <w:top w:w="80" w:type="dxa"/>
              <w:start w:w="80" w:type="dxa"/>
              <w:bottom w:w="80" w:type="dxa"/>
              <w:end w:w="80" w:type="dxa"/>
            </w:tcMar>
            <w:vAlign w:val="top"/>
          </w:tcPr>
          <w:p>
            <w:pPr>
              <w:spacing w:after="0"/>
            </w:pPr>
            <w:r>
              <w:rPr>
                <w:sz w:val="16"/>
              </w:rPr>
              <w:t>Defense in depth: tenant context, composite FKs, service/repository guards, policy tests, security testing</w:t>
            </w:r>
          </w:p>
        </w:tc>
      </w:tr>
      <w:tr>
        <w:tc>
          <w:tcPr>
            <w:tcW w:type="dxa" w:w="2160"/>
            <w:tcMar>
              <w:top w:w="80" w:type="dxa"/>
              <w:start w:w="80" w:type="dxa"/>
              <w:bottom w:w="80" w:type="dxa"/>
              <w:end w:w="80" w:type="dxa"/>
            </w:tcMar>
            <w:vAlign w:val="top"/>
          </w:tcPr>
          <w:p>
            <w:pPr>
              <w:spacing w:after="0"/>
            </w:pPr>
            <w:r>
              <w:rPr>
                <w:sz w:val="16"/>
              </w:rPr>
              <w:t>Sensitive medical/legal exposure</w:t>
            </w:r>
          </w:p>
        </w:tc>
        <w:tc>
          <w:tcPr>
            <w:tcW w:type="dxa" w:w="3744"/>
            <w:tcMar>
              <w:top w:w="80" w:type="dxa"/>
              <w:start w:w="80" w:type="dxa"/>
              <w:bottom w:w="80" w:type="dxa"/>
              <w:end w:w="80" w:type="dxa"/>
            </w:tcMar>
            <w:vAlign w:val="top"/>
          </w:tcPr>
          <w:p>
            <w:pPr>
              <w:spacing w:after="0"/>
            </w:pPr>
            <w:r>
              <w:rPr>
                <w:sz w:val="16"/>
              </w:rPr>
              <w:t>Privacy and trust risk</w:t>
            </w:r>
          </w:p>
        </w:tc>
        <w:tc>
          <w:tcPr>
            <w:tcW w:type="dxa" w:w="4176"/>
            <w:tcMar>
              <w:top w:w="80" w:type="dxa"/>
              <w:start w:w="80" w:type="dxa"/>
              <w:bottom w:w="80" w:type="dxa"/>
              <w:end w:w="80" w:type="dxa"/>
            </w:tcMar>
            <w:vAlign w:val="top"/>
          </w:tcPr>
          <w:p>
            <w:pPr>
              <w:spacing w:after="0"/>
            </w:pPr>
            <w:r>
              <w:rPr>
                <w:sz w:val="16"/>
              </w:rPr>
              <w:t>Field/endpoint permissions, encryption, audit, masked logs, restricted exports</w:t>
            </w:r>
          </w:p>
        </w:tc>
      </w:tr>
      <w:tr>
        <w:tc>
          <w:tcPr>
            <w:tcW w:type="dxa" w:w="2160"/>
            <w:tcMar>
              <w:top w:w="80" w:type="dxa"/>
              <w:start w:w="80" w:type="dxa"/>
              <w:bottom w:w="80" w:type="dxa"/>
              <w:end w:w="80" w:type="dxa"/>
            </w:tcMar>
            <w:vAlign w:val="top"/>
          </w:tcPr>
          <w:p>
            <w:pPr>
              <w:spacing w:after="0"/>
            </w:pPr>
            <w:r>
              <w:rPr>
                <w:sz w:val="16"/>
              </w:rPr>
              <w:t>Contract deadline failure</w:t>
            </w:r>
          </w:p>
        </w:tc>
        <w:tc>
          <w:tcPr>
            <w:tcW w:type="dxa" w:w="3744"/>
            <w:tcMar>
              <w:top w:w="80" w:type="dxa"/>
              <w:start w:w="80" w:type="dxa"/>
              <w:bottom w:w="80" w:type="dxa"/>
              <w:end w:w="80" w:type="dxa"/>
            </w:tcMar>
            <w:vAlign w:val="top"/>
          </w:tcPr>
          <w:p>
            <w:pPr>
              <w:spacing w:after="0"/>
            </w:pPr>
            <w:r>
              <w:rPr>
                <w:sz w:val="16"/>
              </w:rPr>
              <w:t>Financial/legal risk</w:t>
            </w:r>
          </w:p>
        </w:tc>
        <w:tc>
          <w:tcPr>
            <w:tcW w:type="dxa" w:w="4176"/>
            <w:tcMar>
              <w:top w:w="80" w:type="dxa"/>
              <w:start w:w="80" w:type="dxa"/>
              <w:bottom w:w="80" w:type="dxa"/>
              <w:end w:w="80" w:type="dxa"/>
            </w:tcMar>
            <w:vAlign w:val="top"/>
          </w:tcPr>
          <w:p>
            <w:pPr>
              <w:spacing w:after="0"/>
            </w:pPr>
            <w:r>
              <w:rPr>
                <w:sz w:val="16"/>
              </w:rPr>
              <w:t>Multiple alerts, dashboards, task ownership, calendar integration later</w:t>
            </w:r>
          </w:p>
        </w:tc>
      </w:tr>
      <w:tr>
        <w:tc>
          <w:tcPr>
            <w:tcW w:type="dxa" w:w="2160"/>
            <w:tcMar>
              <w:top w:w="80" w:type="dxa"/>
              <w:start w:w="80" w:type="dxa"/>
              <w:bottom w:w="80" w:type="dxa"/>
              <w:end w:w="80" w:type="dxa"/>
            </w:tcMar>
            <w:vAlign w:val="top"/>
          </w:tcPr>
          <w:p>
            <w:pPr>
              <w:spacing w:after="0"/>
            </w:pPr>
            <w:r>
              <w:rPr>
                <w:sz w:val="16"/>
              </w:rPr>
              <w:t>Poor data quality</w:t>
            </w:r>
          </w:p>
        </w:tc>
        <w:tc>
          <w:tcPr>
            <w:tcW w:type="dxa" w:w="3744"/>
            <w:tcMar>
              <w:top w:w="80" w:type="dxa"/>
              <w:start w:w="80" w:type="dxa"/>
              <w:bottom w:w="80" w:type="dxa"/>
              <w:end w:w="80" w:type="dxa"/>
            </w:tcMar>
            <w:vAlign w:val="top"/>
          </w:tcPr>
          <w:p>
            <w:pPr>
              <w:spacing w:after="0"/>
            </w:pPr>
            <w:r>
              <w:rPr>
                <w:sz w:val="16"/>
              </w:rPr>
              <w:t>Wrong decisions and reports</w:t>
            </w:r>
          </w:p>
        </w:tc>
        <w:tc>
          <w:tcPr>
            <w:tcW w:type="dxa" w:w="4176"/>
            <w:tcMar>
              <w:top w:w="80" w:type="dxa"/>
              <w:start w:w="80" w:type="dxa"/>
              <w:bottom w:w="80" w:type="dxa"/>
              <w:end w:w="80" w:type="dxa"/>
            </w:tcMar>
            <w:vAlign w:val="top"/>
          </w:tcPr>
          <w:p>
            <w:pPr>
              <w:spacing w:after="0"/>
            </w:pPr>
            <w:r>
              <w:rPr>
                <w:sz w:val="16"/>
              </w:rPr>
              <w:t>Validation, controlled vocabularies, duplicate detection, data stewardship</w:t>
            </w:r>
          </w:p>
        </w:tc>
      </w:tr>
      <w:tr>
        <w:tc>
          <w:tcPr>
            <w:tcW w:type="dxa" w:w="2160"/>
            <w:tcMar>
              <w:top w:w="80" w:type="dxa"/>
              <w:start w:w="80" w:type="dxa"/>
              <w:bottom w:w="80" w:type="dxa"/>
              <w:end w:w="80" w:type="dxa"/>
            </w:tcMar>
            <w:vAlign w:val="top"/>
          </w:tcPr>
          <w:p>
            <w:pPr>
              <w:spacing w:after="0"/>
            </w:pPr>
            <w:r>
              <w:rPr>
                <w:sz w:val="16"/>
              </w:rPr>
              <w:t>Over-engineering</w:t>
            </w:r>
          </w:p>
        </w:tc>
        <w:tc>
          <w:tcPr>
            <w:tcW w:type="dxa" w:w="3744"/>
            <w:tcMar>
              <w:top w:w="80" w:type="dxa"/>
              <w:start w:w="80" w:type="dxa"/>
              <w:bottom w:w="80" w:type="dxa"/>
              <w:end w:w="80" w:type="dxa"/>
            </w:tcMar>
            <w:vAlign w:val="top"/>
          </w:tcPr>
          <w:p>
            <w:pPr>
              <w:spacing w:after="0"/>
            </w:pPr>
            <w:r>
              <w:rPr>
                <w:sz w:val="16"/>
              </w:rPr>
              <w:t>Cost and slower delivery</w:t>
            </w:r>
          </w:p>
        </w:tc>
        <w:tc>
          <w:tcPr>
            <w:tcW w:type="dxa" w:w="4176"/>
            <w:tcMar>
              <w:top w:w="80" w:type="dxa"/>
              <w:start w:w="80" w:type="dxa"/>
              <w:bottom w:w="80" w:type="dxa"/>
              <w:end w:w="80" w:type="dxa"/>
            </w:tcMar>
            <w:vAlign w:val="top"/>
          </w:tcPr>
          <w:p>
            <w:pPr>
              <w:spacing w:after="0"/>
            </w:pPr>
            <w:r>
              <w:rPr>
                <w:sz w:val="16"/>
              </w:rPr>
              <w:t>Modular monolith first; evidence-driven service extraction</w:t>
            </w:r>
          </w:p>
        </w:tc>
      </w:tr>
      <w:tr>
        <w:tc>
          <w:tcPr>
            <w:tcW w:type="dxa" w:w="2160"/>
            <w:tcMar>
              <w:top w:w="80" w:type="dxa"/>
              <w:start w:w="80" w:type="dxa"/>
              <w:bottom w:w="80" w:type="dxa"/>
              <w:end w:w="80" w:type="dxa"/>
            </w:tcMar>
            <w:vAlign w:val="top"/>
          </w:tcPr>
          <w:p>
            <w:pPr>
              <w:spacing w:after="0"/>
            </w:pPr>
            <w:r>
              <w:rPr>
                <w:sz w:val="16"/>
              </w:rPr>
              <w:t>Vendor lock-in</w:t>
            </w:r>
          </w:p>
        </w:tc>
        <w:tc>
          <w:tcPr>
            <w:tcW w:type="dxa" w:w="3744"/>
            <w:tcMar>
              <w:top w:w="80" w:type="dxa"/>
              <w:start w:w="80" w:type="dxa"/>
              <w:bottom w:w="80" w:type="dxa"/>
              <w:end w:w="80" w:type="dxa"/>
            </w:tcMar>
            <w:vAlign w:val="top"/>
          </w:tcPr>
          <w:p>
            <w:pPr>
              <w:spacing w:after="0"/>
            </w:pPr>
            <w:r>
              <w:rPr>
                <w:sz w:val="16"/>
              </w:rPr>
              <w:t>Migration cost</w:t>
            </w:r>
          </w:p>
        </w:tc>
        <w:tc>
          <w:tcPr>
            <w:tcW w:type="dxa" w:w="4176"/>
            <w:tcMar>
              <w:top w:w="80" w:type="dxa"/>
              <w:start w:w="80" w:type="dxa"/>
              <w:bottom w:w="80" w:type="dxa"/>
              <w:end w:w="80" w:type="dxa"/>
            </w:tcMar>
            <w:vAlign w:val="top"/>
          </w:tcPr>
          <w:p>
            <w:pPr>
              <w:spacing w:after="0"/>
            </w:pPr>
            <w:r>
              <w:rPr>
                <w:sz w:val="16"/>
              </w:rPr>
              <w:t>OpenAPI, portable PostgreSQL, S3-compatible storage, provider abstraction</w:t>
            </w:r>
          </w:p>
        </w:tc>
      </w:tr>
      <w:tr>
        <w:tc>
          <w:tcPr>
            <w:tcW w:type="dxa" w:w="2160"/>
            <w:tcMar>
              <w:top w:w="80" w:type="dxa"/>
              <w:start w:w="80" w:type="dxa"/>
              <w:bottom w:w="80" w:type="dxa"/>
              <w:end w:w="80" w:type="dxa"/>
            </w:tcMar>
            <w:vAlign w:val="top"/>
          </w:tcPr>
          <w:p>
            <w:pPr>
              <w:spacing w:after="0"/>
            </w:pPr>
            <w:r>
              <w:rPr>
                <w:sz w:val="16"/>
              </w:rPr>
              <w:t>Unverified legal e-signature assumptions</w:t>
            </w:r>
          </w:p>
        </w:tc>
        <w:tc>
          <w:tcPr>
            <w:tcW w:type="dxa" w:w="3744"/>
            <w:tcMar>
              <w:top w:w="80" w:type="dxa"/>
              <w:start w:w="80" w:type="dxa"/>
              <w:bottom w:w="80" w:type="dxa"/>
              <w:end w:w="80" w:type="dxa"/>
            </w:tcMar>
            <w:vAlign w:val="top"/>
          </w:tcPr>
          <w:p>
            <w:pPr>
              <w:spacing w:after="0"/>
            </w:pPr>
            <w:r>
              <w:rPr>
                <w:sz w:val="16"/>
              </w:rPr>
              <w:t>Contract enforceability risk</w:t>
            </w:r>
          </w:p>
        </w:tc>
        <w:tc>
          <w:tcPr>
            <w:tcW w:type="dxa" w:w="4176"/>
            <w:tcMar>
              <w:top w:w="80" w:type="dxa"/>
              <w:start w:w="80" w:type="dxa"/>
              <w:bottom w:w="80" w:type="dxa"/>
              <w:end w:w="80" w:type="dxa"/>
            </w:tcMar>
            <w:vAlign w:val="top"/>
          </w:tcPr>
          <w:p>
            <w:pPr>
              <w:spacing w:after="0"/>
            </w:pPr>
            <w:r>
              <w:rPr>
                <w:sz w:val="16"/>
              </w:rPr>
              <w:t>Jurisdiction matrix and approved signature provider/legal review</w:t>
            </w:r>
          </w:p>
        </w:tc>
      </w:tr>
      <w:tr>
        <w:tc>
          <w:tcPr>
            <w:tcW w:type="dxa" w:w="2160"/>
            <w:tcMar>
              <w:top w:w="80" w:type="dxa"/>
              <w:start w:w="80" w:type="dxa"/>
              <w:bottom w:w="80" w:type="dxa"/>
              <w:end w:w="80" w:type="dxa"/>
            </w:tcMar>
            <w:vAlign w:val="top"/>
          </w:tcPr>
          <w:p>
            <w:pPr>
              <w:spacing w:after="0"/>
            </w:pPr>
            <w:r>
              <w:rPr>
                <w:sz w:val="16"/>
              </w:rPr>
              <w:t>Medical workflow ambiguity</w:t>
            </w:r>
          </w:p>
        </w:tc>
        <w:tc>
          <w:tcPr>
            <w:tcW w:type="dxa" w:w="3744"/>
            <w:tcMar>
              <w:top w:w="80" w:type="dxa"/>
              <w:start w:w="80" w:type="dxa"/>
              <w:bottom w:w="80" w:type="dxa"/>
              <w:end w:w="80" w:type="dxa"/>
            </w:tcMar>
            <w:vAlign w:val="top"/>
          </w:tcPr>
          <w:p>
            <w:pPr>
              <w:spacing w:after="0"/>
            </w:pPr>
            <w:r>
              <w:rPr>
                <w:sz w:val="16"/>
              </w:rPr>
              <w:t>Unsafe operational use</w:t>
            </w:r>
          </w:p>
        </w:tc>
        <w:tc>
          <w:tcPr>
            <w:tcW w:type="dxa" w:w="4176"/>
            <w:tcMar>
              <w:top w:w="80" w:type="dxa"/>
              <w:start w:w="80" w:type="dxa"/>
              <w:bottom w:w="80" w:type="dxa"/>
              <w:end w:w="80" w:type="dxa"/>
            </w:tcMar>
            <w:vAlign w:val="top"/>
          </w:tcPr>
          <w:p>
            <w:pPr>
              <w:spacing w:after="0"/>
            </w:pPr>
            <w:r>
              <w:rPr>
                <w:sz w:val="16"/>
              </w:rPr>
              <w:t>Medical owner defines required states and access rules; system is not a clinical decision engine</w:t>
            </w:r>
          </w:p>
        </w:tc>
      </w:tr>
    </w:tbl>
    <w:p>
      <w:pPr>
        <w:spacing w:after="40"/>
      </w:pPr>
    </w:p>
    <w:p>
      <w:pPr>
        <w:pStyle w:val="Heading1"/>
      </w:pPr>
      <w:r>
        <w:t>11. Operating Model</w:t>
      </w:r>
    </w:p>
    <w:p>
      <w:pPr>
        <w:pStyle w:val="ListBullet"/>
        <w:spacing w:after="40"/>
      </w:pPr>
      <w:r>
        <w:t>Product owner owns scope, priorities and acceptance criteria.</w:t>
      </w:r>
    </w:p>
    <w:p>
      <w:pPr>
        <w:pStyle w:val="ListBullet"/>
        <w:spacing w:after="40"/>
      </w:pPr>
      <w:r>
        <w:t>Department owners own business rules for their domains: legal, sporting, medical, training and finance.</w:t>
      </w:r>
    </w:p>
    <w:p>
      <w:pPr>
        <w:pStyle w:val="ListBullet"/>
        <w:spacing w:after="40"/>
      </w:pPr>
      <w:r>
        <w:t>System administrators operate tenant/user/configuration functions but do not automatically gain confidential domain access.</w:t>
      </w:r>
    </w:p>
    <w:p>
      <w:pPr>
        <w:pStyle w:val="ListBullet"/>
        <w:spacing w:after="40"/>
      </w:pPr>
      <w:r>
        <w:t>Security and privacy responsibilities are shared across product, engineering and operations; no single role should bypass audit.</w:t>
      </w:r>
    </w:p>
    <w:p>
      <w:pPr>
        <w:pStyle w:val="ListBullet"/>
        <w:spacing w:after="40"/>
      </w:pPr>
      <w:r>
        <w:t>Data stewardship includes duplicate resolution, controlled vocabularies, retention and export governance.</w:t>
      </w:r>
    </w:p>
    <w:p>
      <w:pPr>
        <w:pStyle w:val="ListBullet"/>
        <w:spacing w:after="40"/>
      </w:pPr>
      <w:r>
        <w:t>A change control process is required once requirements are baselined: every material change receives impact assessment across BRD/PRD/SysRD/SRD.</w:t>
      </w:r>
    </w:p>
    <w:p>
      <w:pPr>
        <w:pStyle w:val="Heading1"/>
      </w:pPr>
      <w:r>
        <w:t>12. Financial and Commercial Model</w:t>
      </w:r>
    </w:p>
    <w:p>
      <w:r>
        <w:t>Initial commercial model: internal agency platform. Future SaaS commercialization may use tenant-based subscription tiers, seat-based pricing, feature entitlements, storage/media limits, and optional integrations. The requirements suite intentionally avoids hard-coding a final pricing model; the product should expose tenant feature flags and usage metrics that can support later packaging.</w:t>
      </w:r>
    </w:p>
    <w:p>
      <w:pPr>
        <w:pStyle w:val="Heading1"/>
      </w:pPr>
      <w:r>
        <w:t>13. Release Strategy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7375E"/>
            <w:tcMar>
              <w:top w:w="80" w:type="dxa"/>
              <w:start w:w="80" w:type="dxa"/>
              <w:bottom w:w="80" w:type="dxa"/>
              <w:end w:w="80" w:type="dxa"/>
            </w:tcMar>
            <w:vAlign w:val="center"/>
          </w:tcPr>
          <w:p>
            <w:r>
              <w:rPr>
                <w:b/>
                <w:color w:val="FFFFFF"/>
                <w:sz w:val="17"/>
              </w:rPr>
              <w:t>Release</w:t>
            </w:r>
          </w:p>
        </w:tc>
        <w:tc>
          <w:tcPr>
            <w:tcW w:type="dxa" w:w="3528"/>
            <w:shd w:fill="17375E"/>
            <w:tcMar>
              <w:top w:w="80" w:type="dxa"/>
              <w:start w:w="80" w:type="dxa"/>
              <w:bottom w:w="80" w:type="dxa"/>
              <w:end w:w="80" w:type="dxa"/>
            </w:tcMar>
            <w:vAlign w:val="center"/>
          </w:tcPr>
          <w:p>
            <w:r>
              <w:rPr>
                <w:b/>
                <w:color w:val="FFFFFF"/>
                <w:sz w:val="17"/>
              </w:rPr>
              <w:t>Business purpose</w:t>
            </w:r>
          </w:p>
        </w:tc>
        <w:tc>
          <w:tcPr>
            <w:tcW w:type="dxa" w:w="4752"/>
            <w:shd w:fill="17375E"/>
            <w:tcMar>
              <w:top w:w="80" w:type="dxa"/>
              <w:start w:w="80" w:type="dxa"/>
              <w:bottom w:w="80" w:type="dxa"/>
              <w:end w:w="80" w:type="dxa"/>
            </w:tcMar>
            <w:vAlign w:val="center"/>
          </w:tcPr>
          <w:p>
            <w:r>
              <w:rPr>
                <w:b/>
                <w:color w:val="FFFFFF"/>
                <w:sz w:val="17"/>
              </w:rPr>
              <w:t>Core scope</w:t>
            </w:r>
          </w:p>
        </w:tc>
      </w:tr>
      <w:tr>
        <w:tc>
          <w:tcPr>
            <w:tcW w:type="dxa" w:w="1800"/>
            <w:tcMar>
              <w:top w:w="80" w:type="dxa"/>
              <w:start w:w="80" w:type="dxa"/>
              <w:bottom w:w="80" w:type="dxa"/>
              <w:end w:w="80" w:type="dxa"/>
            </w:tcMar>
            <w:vAlign w:val="top"/>
          </w:tcPr>
          <w:p>
            <w:pPr>
              <w:spacing w:after="0"/>
            </w:pPr>
            <w:r>
              <w:rPr>
                <w:sz w:val="16"/>
              </w:rPr>
              <w:t>MVP / Phase 1</w:t>
            </w:r>
          </w:p>
        </w:tc>
        <w:tc>
          <w:tcPr>
            <w:tcW w:type="dxa" w:w="3528"/>
            <w:tcMar>
              <w:top w:w="80" w:type="dxa"/>
              <w:start w:w="80" w:type="dxa"/>
              <w:bottom w:w="80" w:type="dxa"/>
              <w:end w:w="80" w:type="dxa"/>
            </w:tcMar>
            <w:vAlign w:val="top"/>
          </w:tcPr>
          <w:p>
            <w:pPr>
              <w:spacing w:after="0"/>
            </w:pPr>
            <w:r>
              <w:rPr>
                <w:sz w:val="16"/>
              </w:rPr>
              <w:t>Replace fragmented manual administration</w:t>
            </w:r>
          </w:p>
        </w:tc>
        <w:tc>
          <w:tcPr>
            <w:tcW w:type="dxa" w:w="4752"/>
            <w:tcMar>
              <w:top w:w="80" w:type="dxa"/>
              <w:start w:w="80" w:type="dxa"/>
              <w:bottom w:w="80" w:type="dxa"/>
              <w:end w:w="80" w:type="dxa"/>
            </w:tcMar>
            <w:vAlign w:val="top"/>
          </w:tcPr>
          <w:p>
            <w:pPr>
              <w:spacing w:after="0"/>
            </w:pPr>
            <w:r>
              <w:rPr>
                <w:sz w:val="16"/>
              </w:rPr>
              <w:t>Identity, tenant/user, player profiles, documents/media, contracts, approvals, legal tickets, basic notifications, audit</w:t>
            </w:r>
          </w:p>
        </w:tc>
      </w:tr>
      <w:tr>
        <w:tc>
          <w:tcPr>
            <w:tcW w:type="dxa" w:w="1800"/>
            <w:tcMar>
              <w:top w:w="80" w:type="dxa"/>
              <w:start w:w="80" w:type="dxa"/>
              <w:bottom w:w="80" w:type="dxa"/>
              <w:end w:w="80" w:type="dxa"/>
            </w:tcMar>
            <w:vAlign w:val="top"/>
          </w:tcPr>
          <w:p>
            <w:pPr>
              <w:spacing w:after="0"/>
            </w:pPr>
            <w:r>
              <w:rPr>
                <w:sz w:val="16"/>
              </w:rPr>
              <w:t>Phase 2</w:t>
            </w:r>
          </w:p>
        </w:tc>
        <w:tc>
          <w:tcPr>
            <w:tcW w:type="dxa" w:w="3528"/>
            <w:tcMar>
              <w:top w:w="80" w:type="dxa"/>
              <w:start w:w="80" w:type="dxa"/>
              <w:bottom w:w="80" w:type="dxa"/>
              <w:end w:w="80" w:type="dxa"/>
            </w:tcMar>
            <w:vAlign w:val="top"/>
          </w:tcPr>
          <w:p>
            <w:pPr>
              <w:spacing w:after="0"/>
            </w:pPr>
            <w:r>
              <w:rPr>
                <w:sz w:val="16"/>
              </w:rPr>
              <w:t>Operational depth</w:t>
            </w:r>
          </w:p>
        </w:tc>
        <w:tc>
          <w:tcPr>
            <w:tcW w:type="dxa" w:w="4752"/>
            <w:tcMar>
              <w:top w:w="80" w:type="dxa"/>
              <w:start w:w="80" w:type="dxa"/>
              <w:bottom w:w="80" w:type="dxa"/>
              <w:end w:w="80" w:type="dxa"/>
            </w:tcMar>
            <w:vAlign w:val="top"/>
          </w:tcPr>
          <w:p>
            <w:pPr>
              <w:spacing w:after="0"/>
            </w:pPr>
            <w:r>
              <w:rPr>
                <w:sz w:val="16"/>
              </w:rPr>
              <w:t>Training/camps, attendance, performance, ratings, chat, richer dashboards, imports/exports</w:t>
            </w:r>
          </w:p>
        </w:tc>
      </w:tr>
      <w:tr>
        <w:tc>
          <w:tcPr>
            <w:tcW w:type="dxa" w:w="1800"/>
            <w:tcMar>
              <w:top w:w="80" w:type="dxa"/>
              <w:start w:w="80" w:type="dxa"/>
              <w:bottom w:w="80" w:type="dxa"/>
              <w:end w:w="80" w:type="dxa"/>
            </w:tcMar>
            <w:vAlign w:val="top"/>
          </w:tcPr>
          <w:p>
            <w:pPr>
              <w:spacing w:after="0"/>
            </w:pPr>
            <w:r>
              <w:rPr>
                <w:sz w:val="16"/>
              </w:rPr>
              <w:t>Phase 3</w:t>
            </w:r>
          </w:p>
        </w:tc>
        <w:tc>
          <w:tcPr>
            <w:tcW w:type="dxa" w:w="3528"/>
            <w:tcMar>
              <w:top w:w="80" w:type="dxa"/>
              <w:start w:w="80" w:type="dxa"/>
              <w:bottom w:w="80" w:type="dxa"/>
              <w:end w:w="80" w:type="dxa"/>
            </w:tcMar>
            <w:vAlign w:val="top"/>
          </w:tcPr>
          <w:p>
            <w:pPr>
              <w:spacing w:after="0"/>
            </w:pPr>
            <w:r>
              <w:rPr>
                <w:sz w:val="16"/>
              </w:rPr>
              <w:t>Agency intelligence</w:t>
            </w:r>
          </w:p>
        </w:tc>
        <w:tc>
          <w:tcPr>
            <w:tcW w:type="dxa" w:w="4752"/>
            <w:tcMar>
              <w:top w:w="80" w:type="dxa"/>
              <w:start w:w="80" w:type="dxa"/>
              <w:bottom w:w="80" w:type="dxa"/>
              <w:end w:w="80" w:type="dxa"/>
            </w:tcMar>
            <w:vAlign w:val="top"/>
          </w:tcPr>
          <w:p>
            <w:pPr>
              <w:spacing w:after="0"/>
            </w:pPr>
            <w:r>
              <w:rPr>
                <w:sz w:val="16"/>
              </w:rPr>
              <w:t>Scouting, advanced analytics, sharing portal, stronger financial workflows, mobile readiness</w:t>
            </w:r>
          </w:p>
        </w:tc>
      </w:tr>
      <w:tr>
        <w:tc>
          <w:tcPr>
            <w:tcW w:type="dxa" w:w="1800"/>
            <w:tcMar>
              <w:top w:w="80" w:type="dxa"/>
              <w:start w:w="80" w:type="dxa"/>
              <w:bottom w:w="80" w:type="dxa"/>
              <w:end w:w="80" w:type="dxa"/>
            </w:tcMar>
            <w:vAlign w:val="top"/>
          </w:tcPr>
          <w:p>
            <w:pPr>
              <w:spacing w:after="0"/>
            </w:pPr>
            <w:r>
              <w:rPr>
                <w:sz w:val="16"/>
              </w:rPr>
              <w:t>Phase 4</w:t>
            </w:r>
          </w:p>
        </w:tc>
        <w:tc>
          <w:tcPr>
            <w:tcW w:type="dxa" w:w="3528"/>
            <w:tcMar>
              <w:top w:w="80" w:type="dxa"/>
              <w:start w:w="80" w:type="dxa"/>
              <w:bottom w:w="80" w:type="dxa"/>
              <w:end w:w="80" w:type="dxa"/>
            </w:tcMar>
            <w:vAlign w:val="top"/>
          </w:tcPr>
          <w:p>
            <w:pPr>
              <w:spacing w:after="0"/>
            </w:pPr>
            <w:r>
              <w:rPr>
                <w:sz w:val="16"/>
              </w:rPr>
              <w:t>Scale and automation</w:t>
            </w:r>
          </w:p>
        </w:tc>
        <w:tc>
          <w:tcPr>
            <w:tcW w:type="dxa" w:w="4752"/>
            <w:tcMar>
              <w:top w:w="80" w:type="dxa"/>
              <w:start w:w="80" w:type="dxa"/>
              <w:bottom w:w="80" w:type="dxa"/>
              <w:end w:w="80" w:type="dxa"/>
            </w:tcMar>
            <w:vAlign w:val="top"/>
          </w:tcPr>
          <w:p>
            <w:pPr>
              <w:spacing w:after="0"/>
            </w:pPr>
            <w:r>
              <w:rPr>
                <w:sz w:val="16"/>
              </w:rPr>
              <w:t>External tenants, advanced integrations, AI-assisted analysis, market intelligence subject to governance</w:t>
            </w:r>
          </w:p>
        </w:tc>
      </w:tr>
    </w:tbl>
    <w:p>
      <w:pPr>
        <w:spacing w:after="40"/>
      </w:pPr>
    </w:p>
    <w:p>
      <w:pPr>
        <w:pStyle w:val="Heading1"/>
      </w:pPr>
      <w:r>
        <w:t>14. Acceptance of Business Requirements</w:t>
      </w:r>
    </w:p>
    <w:p>
      <w:r>
        <w:t>The BRD is accepted when agency leadership confirms scope, objectives, roles, business rules, priority model, key KPIs, operating responsibilities, and known exclusions. Approval of this document authorizes refinement into product/system/software requirements; it does not authorize production processing of real medical, legal or financial data until security and legal controls are approved.</w:t>
      </w:r>
    </w:p>
    <w:p>
      <w:pPr>
        <w:pStyle w:val="Heading1"/>
      </w:pPr>
      <w:r>
        <w:t>R. References and Standards</w:t>
      </w:r>
    </w:p>
    <w:p>
      <w:pPr>
        <w:pStyle w:val="ListBullet"/>
        <w:spacing w:after="40"/>
      </w:pPr>
      <w:r>
        <w:t>ISO/IEC/IEEE 29148:2018 - Requirements engineering; use as the requirements-writing and traceability baseline.</w:t>
      </w:r>
    </w:p>
    <w:p>
      <w:pPr>
        <w:pStyle w:val="ListBullet"/>
        <w:spacing w:after="40"/>
      </w:pPr>
      <w:r>
        <w:t>ISO/IEC/IEEE 12207:2026 - Software life cycle processes; use for lifecycle governance and development/operations process alignment.</w:t>
      </w:r>
    </w:p>
    <w:p>
      <w:pPr>
        <w:pStyle w:val="ListBullet"/>
        <w:spacing w:after="40"/>
      </w:pPr>
      <w:r>
        <w:t>ISO/IEC 25010:2023 - Product quality model; use to structure non-functional and quality requirements.</w:t>
      </w:r>
    </w:p>
    <w:p>
      <w:pPr>
        <w:pStyle w:val="ListBullet"/>
        <w:spacing w:after="40"/>
      </w:pPr>
      <w:r>
        <w:t>ISO/IEC 27001:2022 - Information security management system; use as the security governance target where certification is pursued.</w:t>
      </w:r>
    </w:p>
    <w:p>
      <w:pPr>
        <w:pStyle w:val="ListBullet"/>
        <w:spacing w:after="40"/>
      </w:pPr>
      <w:r>
        <w:t>ISO/IEC 27701:2025 - Privacy information management system; use for PII governance and privacy accountability where applicable.</w:t>
      </w:r>
    </w:p>
    <w:p>
      <w:pPr>
        <w:pStyle w:val="ListBullet"/>
        <w:spacing w:after="40"/>
      </w:pPr>
      <w:r>
        <w:t>OWASP ASVS 5.0.0 - Application security verification baseline.</w:t>
      </w:r>
    </w:p>
    <w:p>
      <w:pPr>
        <w:pStyle w:val="ListBullet"/>
        <w:spacing w:after="40"/>
      </w:pPr>
      <w:r>
        <w:t>OWASP API Security Top 10 (2023) - API-specific security risk baseline.</w:t>
      </w:r>
    </w:p>
    <w:p>
      <w:pPr>
        <w:pStyle w:val="ListBullet"/>
        <w:spacing w:after="40"/>
      </w:pPr>
      <w:r>
        <w:t>NIST SP 800-207 - Zero Trust Architecture principles for identity/resource-oriented access control.</w:t>
      </w:r>
    </w:p>
    <w:p>
      <w:pPr>
        <w:pStyle w:val="ListBullet"/>
        <w:spacing w:after="40"/>
      </w:pPr>
      <w:r>
        <w:t>NIST SP 800-218 SSDF 1.1 - Secure software development practices integrated into the SDLC.</w:t>
      </w:r>
    </w:p>
    <w:p>
      <w:pPr>
        <w:pStyle w:val="ListBullet"/>
        <w:spacing w:after="40"/>
      </w:pPr>
      <w:r>
        <w:t>WCAG 2.2 - Accessibility requirements; target Level AA.</w:t>
      </w:r>
    </w:p>
    <w:p>
      <w:pPr>
        <w:pStyle w:val="ListBullet"/>
        <w:spacing w:after="40"/>
      </w:pPr>
      <w:r>
        <w:t>ISO 19005 / PDF/A - Consider archival PDF/A for long-term contractual/document preservation.</w:t>
      </w:r>
    </w:p>
    <w:p>
      <w:pPr>
        <w:pStyle w:val="ListBullet"/>
        <w:spacing w:after="40"/>
      </w:pPr>
      <w:r>
        <w:t>FIFA Football Agent Regulations and applicable national regulations - domain/compliance inputs for agency operations; legal counsel must validate jurisdictional requirements.</w:t>
      </w:r>
    </w:p>
    <w:p>
      <w:pPr>
        <w:pStyle w:val="ListBullet"/>
        <w:spacing w:after="40"/>
      </w:pPr>
      <w:r>
        <w:t>eIDAS Regulation (EU) No 910/2014, as amended - reference when serving EU users or relying on EU trust services/e-signatures; local laws govern other jurisdictions.</w:t>
      </w:r>
    </w:p>
    <w:p>
      <w:r>
        <w:t>Current technology verification (28 September 2026): Next.js 16.3.x is an Active LTS line; Node.js 24 is LTS; PostgreSQL 18 is the current major line and PostgreSQL 18.6 was released 13 August 2026. Prisma ORM 7 is the stable baseline while Prisma ORM 8 is in release-candidate status. Exact production patch versions must be pinned during implementation.</w:t>
      </w:r>
    </w:p>
    <w:p>
      <w:r>
        <w:t>These references are architecture and requirements baselines, not legal advice. Jurisdiction-specific contractual, employment, medical-data, privacy, payment, tax, child-protection, and electronic-signature obligations require legal/compliance review before production use.</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Sadara Platform | Confidential working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7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