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SADARA PLATFORM</w:t>
      </w:r>
    </w:p>
    <w:p>
      <w:pPr>
        <w:jc w:val="center"/>
      </w:pPr>
      <w:r>
        <w:rPr>
          <w:b/>
          <w:color w:val="17375E"/>
          <w:sz w:val="48"/>
        </w:rPr>
        <w:t>Product Requirements Document (PRD)</w:t>
      </w:r>
    </w:p>
    <w:p>
      <w:pPr>
        <w:jc w:val="center"/>
      </w:pPr>
      <w:r>
        <w:rPr>
          <w:color w:val="595959"/>
          <w:sz w:val="22"/>
        </w:rPr>
        <w:t>Sadara Player Management Platform</w:t>
      </w:r>
    </w:p>
    <w:p>
      <w:pPr>
        <w:jc w:val="center"/>
      </w:pPr>
      <w:r>
        <w:rPr>
          <w:sz w:val="20"/>
        </w:rPr>
        <w:br/>
        <w:t>Version 1.0 | Requirements Baseline | 28 September 2026</w:t>
      </w:r>
    </w:p>
    <w:p>
      <w:pPr>
        <w:jc w:val="center"/>
      </w:pPr>
      <w:r>
        <w:rPr>
          <w:i/>
          <w:color w:val="595959"/>
        </w:rPr>
        <w:t>Status: Draft for stakeholder validation and architecture sign-off</w:t>
      </w:r>
    </w:p>
    <w:p>
      <w:r>
        <w:br w:type="page"/>
      </w:r>
    </w:p>
    <w:p>
      <w:pPr>
        <w:pStyle w:val="Heading1"/>
      </w:pPr>
      <w:r>
        <w:t>0.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99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Sadara Platform - Product Requirements Document (PRD)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28 September 2026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 baseline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Language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English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Primary objective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Translate business outcomes into a coherent product experience, user journeys, capabilities, priorities, UX behavior, measurable outcomes and release criteria.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Primary audience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 owner, UX/UI, engineering, QA, business stakeholders, domain owners.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baseline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Sadara concept brief + supplied Prisma/PostgreSQL schema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Requirement method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ISO/IEC/IEEE 29148-aligned structure with explicit identifiers and acceptance intent</w:t>
            </w:r>
          </w:p>
        </w:tc>
      </w:tr>
    </w:tbl>
    <w:p>
      <w:pPr>
        <w:spacing w:after="40"/>
      </w:pPr>
    </w:p>
    <w:p>
      <w:r>
        <w:t>Traceability rule: business requirements are refined into product requirements, then system requirements, then software requirements. Requirement IDs are stable and must not be reused after baseline approval.</w:t>
      </w:r>
    </w:p>
    <w:p>
      <w:pPr>
        <w:pStyle w:val="Heading1"/>
      </w:pPr>
      <w:r>
        <w:t>1. Product Vision</w:t>
      </w:r>
    </w:p>
    <w:p>
      <w:r>
        <w:t>Make Sadara the operational command center for every player relationship: one profile, one timeline, one controlled document space, one communication layer, and one evidence-based view of sporting, legal, medical, training and commercial status.</w:t>
      </w:r>
    </w:p>
    <w:p>
      <w:pPr>
        <w:pStyle w:val="Heading1"/>
      </w:pPr>
      <w:r>
        <w:t>2. Product Principles</w:t>
      </w:r>
    </w:p>
    <w:p>
      <w:pPr>
        <w:pStyle w:val="ListBullet"/>
        <w:spacing w:after="40"/>
      </w:pPr>
      <w:r>
        <w:t>Player-centric: the player is the primary business object and cross-module navigation should start from the player journey.</w:t>
      </w:r>
    </w:p>
    <w:p>
      <w:pPr>
        <w:pStyle w:val="ListBullet"/>
        <w:spacing w:after="40"/>
      </w:pPr>
      <w:r>
        <w:t>One source of truth: derived dashboards must trace to authoritative records.</w:t>
      </w:r>
    </w:p>
    <w:p>
      <w:pPr>
        <w:pStyle w:val="ListBullet"/>
        <w:spacing w:after="40"/>
      </w:pPr>
      <w:r>
        <w:t>Privacy by design: sensitive information is hidden by default and revealed only by policy.</w:t>
      </w:r>
    </w:p>
    <w:p>
      <w:pPr>
        <w:pStyle w:val="ListBullet"/>
        <w:spacing w:after="40"/>
      </w:pPr>
      <w:r>
        <w:t>Workflow over free-form status changes: approvals, signatures, tickets and attendance follow explicit state models.</w:t>
      </w:r>
    </w:p>
    <w:p>
      <w:pPr>
        <w:pStyle w:val="ListBullet"/>
        <w:spacing w:after="40"/>
      </w:pPr>
      <w:r>
        <w:t>Fast daily operations: common tasks should take seconds, not complex navigation.</w:t>
      </w:r>
    </w:p>
    <w:p>
      <w:pPr>
        <w:pStyle w:val="ListBullet"/>
        <w:spacing w:after="40"/>
      </w:pPr>
      <w:r>
        <w:t>API-first and mobile-ready: web experience is the first client, not the only future client.</w:t>
      </w:r>
    </w:p>
    <w:p>
      <w:pPr>
        <w:pStyle w:val="ListBullet"/>
        <w:spacing w:after="40"/>
      </w:pPr>
      <w:r>
        <w:t>Bilingual and RTL-native: Arabic is a first-class locale, not a translated afterthought.</w:t>
      </w:r>
    </w:p>
    <w:p>
      <w:pPr>
        <w:pStyle w:val="ListBullet"/>
        <w:spacing w:after="40"/>
      </w:pPr>
      <w:r>
        <w:t>Progressive disclosure: expert workflows expose complexity only when needed.</w:t>
      </w:r>
    </w:p>
    <w:p>
      <w:pPr>
        <w:pStyle w:val="ListBullet"/>
        <w:spacing w:after="40"/>
      </w:pPr>
      <w:r>
        <w:t>Human-in-the-loop intelligence: AI may assist, summarize or flag; authorized staff remain decision makers.</w:t>
      </w:r>
    </w:p>
    <w:p>
      <w:pPr>
        <w:pStyle w:val="Heading1"/>
      </w:pPr>
      <w:r>
        <w:t>3. Personas and Primary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4320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Top jobs-to-be-done</w:t>
            </w:r>
          </w:p>
        </w:tc>
        <w:tc>
          <w:tcPr>
            <w:tcW w:type="dxa" w:w="3960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Key product surface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Executive/Owner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Understand portfolio health and approve critical actions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Executive dashboard, approvals, player portfolio, reports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Administrator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Maintain users/data and resolve routine operational work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 center, players, documents, notifications, audit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Sporting Director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Recruit, evaluate and manage player development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 360, scouting, watchlists, performance, ratings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Scout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Find and evaluate prospects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Assignments, reports, watchlists, media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Coach/Staff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Deliver and evaluate sporting development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Training, attendance, player performance and ratings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Medical/Physio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Track injury and rehabilitation safely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Restricted medical workspace, treatments, RTP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Legal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 contracts and legal cases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workspace, approvals, tickets, document evidence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Finance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Track compensation and payments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Finance workspace and contract economics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Training Manager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Plan programs and measure participation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Training calendar, enrollment, attendance, certificates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Maintain approved personal data and receive services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 portal, profile, contracts, training, messages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Guardian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Support academy player within assigned permissions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Restricted player portal</w:t>
            </w:r>
          </w:p>
        </w:tc>
      </w:tr>
    </w:tbl>
    <w:p>
      <w:pPr>
        <w:spacing w:after="40"/>
      </w:pPr>
    </w:p>
    <w:p>
      <w:pPr>
        <w:pStyle w:val="Heading1"/>
      </w:pPr>
      <w:r>
        <w:t>4.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Navigation area</w:t>
            </w:r>
          </w:p>
        </w:tc>
        <w:tc>
          <w:tcPr>
            <w:tcW w:type="dxa" w:w="7920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Major destinations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Home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Personalized dashboard, tasks, alerts, upcoming events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Players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Directory, player 360, profiles, media, documents, medical (permission gated), timeline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Contracts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Contracts, expiring, approvals, versions, signature status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Scouting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Assignments, prospects, reports, watchlists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Matches/records, KPIs, ratings, comparisons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Training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Programs, sessions, calendar, enrollment, attendance, certificates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Legal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Tickets, queues, due dates, notes, attachments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Communication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Conversations, unread, search, archived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Operational reports, exports, scheduled reports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Administration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Users, roles, permissions, tenant settings, audit, feature flags</w:t>
            </w:r>
          </w:p>
        </w:tc>
      </w:tr>
    </w:tbl>
    <w:p>
      <w:pPr>
        <w:spacing w:after="40"/>
      </w:pPr>
    </w:p>
    <w:p>
      <w:pPr>
        <w:pStyle w:val="Heading1"/>
      </w:pPr>
      <w:r>
        <w:t>5. Feature Requirements and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096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15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439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 of success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PRD-PL-001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 360 profile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Authorized staff see identity, status, club, positions, media, contracts, performance, training, legal and activity summary from one page.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PRD-PL-002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Profile completeness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System identifies missing required information by lifecycle stage.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PRD-PL-003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 dossier export/share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Generate an approved shareable profile package with configurable fields, media and expiry.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PRD-CT-001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lifecycle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Draft/review/approve/sign/archive is visible and auditable.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PRD-CT-002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Expiry monitoring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Upcoming expiries appear on dashboard and generate configured notifications.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PRD-CT-003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Version comparison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Users can see version history and change notes without overwriting prior versions.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PRD-LE-001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Legal ticketing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Ticket creation, assignment, priority, SLA, notes, files and closure are controlled.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PRD-ME-001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Medical workspace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Authorized medical staff manage records, injuries and treatment sessions; non-medical users see only allowed summary.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PRD-TR-001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Training/camp management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programs, sessions, capacity, pricing, registration and attendance.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PRD-TR-002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Certificate generation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Eligible participants receive digitally verifiable certificates.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PRD-PF-001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Performance records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Capture/import match statistics and display trends by player/season.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PRD-RT-001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 rating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Periodic ratings use a governed scheme and preserve historical scores.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PRD-SC-001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Scouting pipeline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Assignments, reports, prospects, recommendations and watchlists support recruitment workflow.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PRD-CH-001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communication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1:1/group conversations support text/media/files, unread state and retention.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PRD-NF-001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Notification center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Users see actionable in-app notifications with deep links and preference controls.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PRD-AD-001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 and audit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Authorized administrators manage users/settings and audit critical actions.</w:t>
            </w:r>
          </w:p>
        </w:tc>
      </w:tr>
    </w:tbl>
    <w:p>
      <w:pPr>
        <w:spacing w:after="40"/>
      </w:pPr>
    </w:p>
    <w:p>
      <w:pPr>
        <w:pStyle w:val="Heading1"/>
      </w:pPr>
      <w:r>
        <w:t>6. User Journeys</w:t>
      </w:r>
    </w:p>
    <w:p>
      <w:pPr>
        <w:pStyle w:val="Heading2"/>
      </w:pPr>
      <w:r>
        <w:t>6.1 Player onboarding</w:t>
      </w:r>
    </w:p>
    <w:p>
      <w:r>
        <w:t>Admin creates player -&gt; system checks potential duplicates -&gt; required profile fields shown -&gt; documents/media uploaded -&gt; sporting/medical/legal sections completed as allowed -&gt; profile completeness reaches threshold -&gt; player activated -&gt; onboarding notifications sent.</w:t>
      </w:r>
    </w:p>
    <w:p>
      <w:pPr>
        <w:pStyle w:val="Heading2"/>
      </w:pPr>
      <w:r>
        <w:t>6.2 Contract approval/signature</w:t>
      </w:r>
    </w:p>
    <w:p>
      <w:r>
        <w:t>Authorized user drafts contract -&gt; uploads or generates version -&gt; legal reviews -&gt; approval steps execute in order -&gt; authorized signatories sign through approved provider -&gt; signature evidence captured -&gt; contract marked signed -&gt; reminders scheduled.</w:t>
      </w:r>
    </w:p>
    <w:p>
      <w:pPr>
        <w:pStyle w:val="Heading2"/>
      </w:pPr>
      <w:r>
        <w:t>6.3 Legal request</w:t>
      </w:r>
    </w:p>
    <w:p>
      <w:r>
        <w:t>User selects player -&gt; creates ticket -&gt; priority/due date set -&gt; legal assignee notified -&gt; notes/files exchanged -&gt; legal resolves -&gt; requester confirms/closure -&gt; full audit retained.</w:t>
      </w:r>
    </w:p>
    <w:p>
      <w:pPr>
        <w:pStyle w:val="Heading2"/>
      </w:pPr>
      <w:r>
        <w:t>6.4 Training enrollment</w:t>
      </w:r>
    </w:p>
    <w:p>
      <w:r>
        <w:t>Player or staff selects program -&gt; eligibility/capacity check -&gt; payment state recorded if applicable -&gt; enrollment approved -&gt; calendar/reminders created -&gt; session attendance recorded -&gt; completion checked -&gt; certificate issued.</w:t>
      </w:r>
    </w:p>
    <w:p>
      <w:pPr>
        <w:pStyle w:val="Heading2"/>
      </w:pPr>
      <w:r>
        <w:t>6.5 Scouting report</w:t>
      </w:r>
    </w:p>
    <w:p>
      <w:r>
        <w:t>Scout opens assignment -&gt; creates report for existing player or prospect -&gt; scores dimensions -&gt; writes strengths/weaknesses/fit -&gt; submits -&gt; sporting director reviews -&gt; approves/rejects -&gt; watchlist/onboarding action created.</w:t>
      </w:r>
    </w:p>
    <w:p>
      <w:pPr>
        <w:pStyle w:val="Heading2"/>
      </w:pPr>
      <w:r>
        <w:t>6.6 Performance review</w:t>
      </w:r>
    </w:p>
    <w:p>
      <w:r>
        <w:t>Analyst imports/enters records -&gt; validation -&gt; player trend view -&gt; evaluator creates rating using current scheme -&gt; report generated -&gt; historical comparison available.</w:t>
      </w:r>
    </w:p>
    <w:p>
      <w:pPr>
        <w:pStyle w:val="Heading2"/>
      </w:pPr>
      <w:r>
        <w:t>6.7 Player communication</w:t>
      </w:r>
    </w:p>
    <w:p>
      <w:r>
        <w:t>User opens permitted conversation -&gt; sends message/file -&gt; recipient receives realtime event and notification -&gt; read receipt updates -&gt; conversation remains searchable and auditable under policy.</w:t>
      </w:r>
    </w:p>
    <w:p>
      <w:pPr>
        <w:pStyle w:val="Heading1"/>
      </w:pPr>
      <w:r>
        <w:t>7. UX Requirements</w:t>
      </w:r>
    </w:p>
    <w:p>
      <w:pPr>
        <w:pStyle w:val="ListBullet"/>
        <w:spacing w:after="40"/>
      </w:pPr>
      <w:r>
        <w:t>UX-001: Every screen must expose tenant and user context implicitly and must never allow changing tenant through a client-controlled ID alone.</w:t>
      </w:r>
    </w:p>
    <w:p>
      <w:pPr>
        <w:pStyle w:val="ListBullet"/>
        <w:spacing w:after="40"/>
      </w:pPr>
      <w:r>
        <w:t>UX-002: Destructive actions require clear confirmation and explain the consequence (delete/archive/terminate/reject).</w:t>
      </w:r>
    </w:p>
    <w:p>
      <w:pPr>
        <w:pStyle w:val="ListBullet"/>
        <w:spacing w:after="40"/>
      </w:pPr>
      <w:r>
        <w:t>UX-003: Forms show field-level validation, server-side validation errors, and preserve non-sensitive user input after recoverable errors.</w:t>
      </w:r>
    </w:p>
    <w:p>
      <w:pPr>
        <w:pStyle w:val="ListBullet"/>
        <w:spacing w:after="40"/>
      </w:pPr>
      <w:r>
        <w:t>UX-004: Long tables provide server-side pagination, filter chips, sort, saved views where useful, and keyboard accessibility.</w:t>
      </w:r>
    </w:p>
    <w:p>
      <w:pPr>
        <w:pStyle w:val="ListBullet"/>
        <w:spacing w:after="40"/>
      </w:pPr>
      <w:r>
        <w:t>UX-005: Player 360 uses tabs or sections so sensitive medical/legal areas are visually and permission gated rather than mixed into the default summary.</w:t>
      </w:r>
    </w:p>
    <w:p>
      <w:pPr>
        <w:pStyle w:val="ListBullet"/>
        <w:spacing w:after="40"/>
      </w:pPr>
      <w:r>
        <w:t>UX-006: Contract status and deadlines use a consistent visual language and calendar semantics.</w:t>
      </w:r>
    </w:p>
    <w:p>
      <w:pPr>
        <w:pStyle w:val="ListBullet"/>
        <w:spacing w:after="40"/>
      </w:pPr>
      <w:r>
        <w:t>UX-007: All user-facing dates/times use tenant timezone; timestamps can reveal the exact absolute time where audit precision matters.</w:t>
      </w:r>
    </w:p>
    <w:p>
      <w:pPr>
        <w:pStyle w:val="ListBullet"/>
        <w:spacing w:after="40"/>
      </w:pPr>
      <w:r>
        <w:t>UX-008: Arabic uses RTL layout; English uses LTR; switching language must not change underlying business data.</w:t>
      </w:r>
    </w:p>
    <w:p>
      <w:pPr>
        <w:pStyle w:val="ListBullet"/>
        <w:spacing w:after="40"/>
      </w:pPr>
      <w:r>
        <w:t>UX-009: Mobile-responsive web is required from launch; complex video/media management remains optimized for desktop but remains usable on smaller screens.</w:t>
      </w:r>
    </w:p>
    <w:p>
      <w:pPr>
        <w:pStyle w:val="ListBullet"/>
        <w:spacing w:after="40"/>
      </w:pPr>
      <w:r>
        <w:t>UX-010: Empty states explain why data is absent and provide the next available action.</w:t>
      </w:r>
    </w:p>
    <w:p>
      <w:pPr>
        <w:pStyle w:val="ListBullet"/>
        <w:spacing w:after="40"/>
      </w:pPr>
      <w:r>
        <w:t>UX-011: Loading, error and offline/retry states are explicit; no silent failures.</w:t>
      </w:r>
    </w:p>
    <w:p>
      <w:pPr>
        <w:pStyle w:val="ListBullet"/>
        <w:spacing w:after="40"/>
      </w:pPr>
      <w:r>
        <w:t>UX-012: WCAG 2.2 AA is the product accessibility target.</w:t>
      </w:r>
    </w:p>
    <w:p>
      <w:pPr>
        <w:pStyle w:val="Heading1"/>
      </w:pPr>
      <w:r>
        <w:t>8. Search, Filters and Reporting</w:t>
      </w:r>
    </w:p>
    <w:p>
      <w:pPr>
        <w:pStyle w:val="ListBullet"/>
        <w:spacing w:after="40"/>
      </w:pPr>
      <w:r>
        <w:t>Global search should locate players, contracts, legal tickets, trainings, conversations and documents only within the user authorization scope.</w:t>
      </w:r>
    </w:p>
    <w:p>
      <w:pPr>
        <w:pStyle w:val="ListBullet"/>
        <w:spacing w:after="40"/>
      </w:pPr>
      <w:r>
        <w:t>Player search supports name, position, status, club, nationality and other approved indexed fields.</w:t>
      </w:r>
    </w:p>
    <w:p>
      <w:pPr>
        <w:pStyle w:val="ListBullet"/>
        <w:spacing w:after="40"/>
      </w:pPr>
      <w:r>
        <w:t>Contract views support status, player, expiry range, season and owner/assignee filters.</w:t>
      </w:r>
    </w:p>
    <w:p>
      <w:pPr>
        <w:pStyle w:val="ListBullet"/>
        <w:spacing w:after="40"/>
      </w:pPr>
      <w:r>
        <w:t>Legal queues support status, priority, assignee and due-date/SLA filters.</w:t>
      </w:r>
    </w:p>
    <w:p>
      <w:pPr>
        <w:pStyle w:val="ListBullet"/>
        <w:spacing w:after="40"/>
      </w:pPr>
      <w:r>
        <w:t>Training views support date ranges, capacity, status and enrollment state.</w:t>
      </w:r>
    </w:p>
    <w:p>
      <w:pPr>
        <w:pStyle w:val="ListBullet"/>
        <w:spacing w:after="40"/>
      </w:pPr>
      <w:r>
        <w:t>Reports must reveal source period and generation timestamp and should carry an export audit event.</w:t>
      </w:r>
    </w:p>
    <w:p>
      <w:pPr>
        <w:pStyle w:val="ListBullet"/>
        <w:spacing w:after="40"/>
      </w:pPr>
      <w:r>
        <w:t>Exports must be permission gated and must exclude confidential fields unless explicitly allowed.</w:t>
      </w:r>
    </w:p>
    <w:p>
      <w:pPr>
        <w:pStyle w:val="Heading1"/>
      </w:pPr>
      <w:r>
        <w:t>9.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3168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115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In-app</w:t>
            </w:r>
          </w:p>
        </w:tc>
        <w:tc>
          <w:tcPr>
            <w:tcW w:type="dxa" w:w="115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Push</w:t>
            </w:r>
          </w:p>
        </w:tc>
        <w:tc>
          <w:tcPr>
            <w:tcW w:type="dxa" w:w="1296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Email</w:t>
            </w:r>
          </w:p>
        </w:tc>
        <w:tc>
          <w:tcPr>
            <w:tcW w:type="dxa" w:w="331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Default timing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approved/rejected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Configurable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Immediate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expiring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Configurable reminders, e.g. 90/30/7 days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New message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Configurable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Immediate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Training reminder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Configurable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Enrollment state changed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Immediate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Legal ticket created/updated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Immediate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Medical record added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Permission gated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Permission gated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Usually off by default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Immediate only for authorized recipients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System/security alert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 for critical events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Immediate</w:t>
            </w:r>
          </w:p>
        </w:tc>
      </w:tr>
    </w:tbl>
    <w:p>
      <w:pPr>
        <w:spacing w:after="40"/>
      </w:pPr>
    </w:p>
    <w:p>
      <w:pPr>
        <w:pStyle w:val="Heading1"/>
      </w:pPr>
      <w:r>
        <w:t>10. Product Analytics</w:t>
      </w:r>
    </w:p>
    <w:p>
      <w:pPr>
        <w:pStyle w:val="ListBullet"/>
        <w:spacing w:after="40"/>
      </w:pPr>
      <w:r>
        <w:t>Activation: percentage of new users who complete profile and access key workflows.</w:t>
      </w:r>
    </w:p>
    <w:p>
      <w:pPr>
        <w:pStyle w:val="ListBullet"/>
        <w:spacing w:after="40"/>
      </w:pPr>
      <w:r>
        <w:t>Operational adoption: daily/weekly active users by role and module.</w:t>
      </w:r>
    </w:p>
    <w:p>
      <w:pPr>
        <w:pStyle w:val="ListBullet"/>
        <w:spacing w:after="40"/>
      </w:pPr>
      <w:r>
        <w:t>Workflow throughput: contracts, tickets, trainings and scouting reports completed per period.</w:t>
      </w:r>
    </w:p>
    <w:p>
      <w:pPr>
        <w:pStyle w:val="ListBullet"/>
        <w:spacing w:after="40"/>
      </w:pPr>
      <w:r>
        <w:t>Time-to-action: median time from event creation to first responsible-user action.</w:t>
      </w:r>
    </w:p>
    <w:p>
      <w:pPr>
        <w:pStyle w:val="ListBullet"/>
        <w:spacing w:after="40"/>
      </w:pPr>
      <w:r>
        <w:t>Data quality: validation failures, duplicates and incomplete profiles.</w:t>
      </w:r>
    </w:p>
    <w:p>
      <w:pPr>
        <w:pStyle w:val="ListBullet"/>
        <w:spacing w:after="40"/>
      </w:pPr>
      <w:r>
        <w:t>Security telemetry: failed logins, MFA enrollment, privilege changes, export events, abnormal access patterns.</w:t>
      </w:r>
    </w:p>
    <w:p>
      <w:pPr>
        <w:pStyle w:val="ListBullet"/>
        <w:spacing w:after="40"/>
      </w:pPr>
      <w:r>
        <w:t>User experience: task completion, error rate, response time and search success.</w:t>
      </w:r>
    </w:p>
    <w:p>
      <w:pPr>
        <w:pStyle w:val="Heading1"/>
      </w:pPr>
      <w:r>
        <w:t>11. Product Acceptance Criteria</w:t>
      </w:r>
    </w:p>
    <w:p>
      <w:pPr>
        <w:pStyle w:val="ListBullet"/>
        <w:spacing w:after="40"/>
      </w:pPr>
      <w:r>
        <w:t>All P0 features have positive and negative acceptance scenarios.</w:t>
      </w:r>
    </w:p>
    <w:p>
      <w:pPr>
        <w:pStyle w:val="ListBullet"/>
        <w:spacing w:after="40"/>
      </w:pPr>
      <w:r>
        <w:t>All domain owners approve business-rule behavior for their module.</w:t>
      </w:r>
    </w:p>
    <w:p>
      <w:pPr>
        <w:pStyle w:val="ListBullet"/>
        <w:spacing w:after="40"/>
      </w:pPr>
      <w:r>
        <w:t>Tenant-isolation tests demonstrate that object IDs from another tenant cannot be used to read, mutate, delete or export data.</w:t>
      </w:r>
    </w:p>
    <w:p>
      <w:pPr>
        <w:pStyle w:val="ListBullet"/>
        <w:spacing w:after="40"/>
      </w:pPr>
      <w:r>
        <w:t>Confidential-data tests show medical/legal/finance data is absent from unauthorized responses, search, notifications and logs.</w:t>
      </w:r>
    </w:p>
    <w:p>
      <w:pPr>
        <w:pStyle w:val="ListBullet"/>
        <w:spacing w:after="40"/>
      </w:pPr>
      <w:r>
        <w:t>Critical contract workflows produce a complete audit trail.</w:t>
      </w:r>
    </w:p>
    <w:p>
      <w:pPr>
        <w:pStyle w:val="ListBullet"/>
        <w:spacing w:after="40"/>
      </w:pPr>
      <w:r>
        <w:t>Arabic/English UI is functionally equivalent for supported features.</w:t>
      </w:r>
    </w:p>
    <w:p>
      <w:pPr>
        <w:pStyle w:val="ListBullet"/>
        <w:spacing w:after="40"/>
      </w:pPr>
      <w:r>
        <w:t>Core workflows meet defined performance, accessibility and reliability targets.</w:t>
      </w:r>
    </w:p>
    <w:p>
      <w:pPr>
        <w:pStyle w:val="ListBullet"/>
        <w:spacing w:after="40"/>
      </w:pPr>
      <w:r>
        <w:t>Production readiness review confirms backup, restoration, monitoring, alerting, incident response and vulnerability management are operational.</w:t>
      </w:r>
    </w:p>
    <w:p>
      <w:pPr>
        <w:pStyle w:val="Heading1"/>
      </w:pPr>
      <w:r>
        <w:t>12. Future Product Capabilities</w:t>
      </w:r>
    </w:p>
    <w:p>
      <w:pPr>
        <w:pStyle w:val="ListBullet"/>
        <w:spacing w:after="40"/>
      </w:pPr>
      <w:r>
        <w:t>External club-facing secure player dossier portal.</w:t>
      </w:r>
    </w:p>
    <w:p>
      <w:pPr>
        <w:pStyle w:val="ListBullet"/>
        <w:spacing w:after="40"/>
      </w:pPr>
      <w:r>
        <w:t>Player mobile apps for iOS/Android using the same API and identity system.</w:t>
      </w:r>
    </w:p>
    <w:p>
      <w:pPr>
        <w:pStyle w:val="ListBullet"/>
        <w:spacing w:after="40"/>
      </w:pPr>
      <w:r>
        <w:t>AI-assisted scouting summaries, video tagging, report summarization and anomaly detection with human approval.</w:t>
      </w:r>
    </w:p>
    <w:p>
      <w:pPr>
        <w:pStyle w:val="ListBullet"/>
        <w:spacing w:after="40"/>
      </w:pPr>
      <w:r>
        <w:t>Injury-risk analytics using approved and consented data; not a diagnosis engine.</w:t>
      </w:r>
    </w:p>
    <w:p>
      <w:pPr>
        <w:pStyle w:val="ListBullet"/>
        <w:spacing w:after="40"/>
      </w:pPr>
      <w:r>
        <w:t>Market intelligence/valuation with transparent methodology and confidence intervals.</w:t>
      </w:r>
    </w:p>
    <w:p>
      <w:pPr>
        <w:pStyle w:val="ListBullet"/>
        <w:spacing w:after="40"/>
      </w:pPr>
      <w:r>
        <w:t>Calendar and productivity integrations.</w:t>
      </w:r>
    </w:p>
    <w:p>
      <w:pPr>
        <w:pStyle w:val="ListBullet"/>
        <w:spacing w:after="40"/>
      </w:pPr>
      <w:r>
        <w:t>Partner/agency ecosystem APIs and webhooks.</w:t>
      </w:r>
    </w:p>
    <w:p>
      <w:pPr>
        <w:pStyle w:val="Heading1"/>
      </w:pPr>
      <w:r>
        <w:t>R. References and Standards</w:t>
      </w:r>
    </w:p>
    <w:p>
      <w:pPr>
        <w:pStyle w:val="ListBullet"/>
        <w:spacing w:after="40"/>
      </w:pPr>
      <w:r>
        <w:t>ISO/IEC/IEEE 29148:2018 - Requirements engineering; use as the requirements-writing and traceability baseline.</w:t>
      </w:r>
    </w:p>
    <w:p>
      <w:pPr>
        <w:pStyle w:val="ListBullet"/>
        <w:spacing w:after="40"/>
      </w:pPr>
      <w:r>
        <w:t>ISO/IEC/IEEE 12207:2026 - Software life cycle processes; use for lifecycle governance and development/operations process alignment.</w:t>
      </w:r>
    </w:p>
    <w:p>
      <w:pPr>
        <w:pStyle w:val="ListBullet"/>
        <w:spacing w:after="40"/>
      </w:pPr>
      <w:r>
        <w:t>ISO/IEC 25010:2023 - Product quality model; use to structure non-functional and quality requirements.</w:t>
      </w:r>
    </w:p>
    <w:p>
      <w:pPr>
        <w:pStyle w:val="ListBullet"/>
        <w:spacing w:after="40"/>
      </w:pPr>
      <w:r>
        <w:t>ISO/IEC 27001:2022 - Information security management system; use as the security governance target where certification is pursued.</w:t>
      </w:r>
    </w:p>
    <w:p>
      <w:pPr>
        <w:pStyle w:val="ListBullet"/>
        <w:spacing w:after="40"/>
      </w:pPr>
      <w:r>
        <w:t>ISO/IEC 27701:2025 - Privacy information management system; use for PII governance and privacy accountability where applicable.</w:t>
      </w:r>
    </w:p>
    <w:p>
      <w:pPr>
        <w:pStyle w:val="ListBullet"/>
        <w:spacing w:after="40"/>
      </w:pPr>
      <w:r>
        <w:t>OWASP ASVS 5.0.0 - Application security verification baseline.</w:t>
      </w:r>
    </w:p>
    <w:p>
      <w:pPr>
        <w:pStyle w:val="ListBullet"/>
        <w:spacing w:after="40"/>
      </w:pPr>
      <w:r>
        <w:t>OWASP API Security Top 10 (2023) - API-specific security risk baseline.</w:t>
      </w:r>
    </w:p>
    <w:p>
      <w:pPr>
        <w:pStyle w:val="ListBullet"/>
        <w:spacing w:after="40"/>
      </w:pPr>
      <w:r>
        <w:t>NIST SP 800-207 - Zero Trust Architecture principles for identity/resource-oriented access control.</w:t>
      </w:r>
    </w:p>
    <w:p>
      <w:pPr>
        <w:pStyle w:val="ListBullet"/>
        <w:spacing w:after="40"/>
      </w:pPr>
      <w:r>
        <w:t>NIST SP 800-218 SSDF 1.1 - Secure software development practices integrated into the SDLC.</w:t>
      </w:r>
    </w:p>
    <w:p>
      <w:pPr>
        <w:pStyle w:val="ListBullet"/>
        <w:spacing w:after="40"/>
      </w:pPr>
      <w:r>
        <w:t>WCAG 2.2 - Accessibility requirements; target Level AA.</w:t>
      </w:r>
    </w:p>
    <w:p>
      <w:pPr>
        <w:pStyle w:val="ListBullet"/>
        <w:spacing w:after="40"/>
      </w:pPr>
      <w:r>
        <w:t>ISO 19005 / PDF/A - Consider archival PDF/A for long-term contractual/document preservation.</w:t>
      </w:r>
    </w:p>
    <w:p>
      <w:pPr>
        <w:pStyle w:val="ListBullet"/>
        <w:spacing w:after="40"/>
      </w:pPr>
      <w:r>
        <w:t>FIFA Football Agent Regulations and applicable national regulations - domain/compliance inputs for agency operations; legal counsel must validate jurisdictional requirements.</w:t>
      </w:r>
    </w:p>
    <w:p>
      <w:pPr>
        <w:pStyle w:val="ListBullet"/>
        <w:spacing w:after="40"/>
      </w:pPr>
      <w:r>
        <w:t>eIDAS Regulation (EU) No 910/2014, as amended - reference when serving EU users or relying on EU trust services/e-signatures; local laws govern other jurisdictions.</w:t>
      </w:r>
    </w:p>
    <w:p>
      <w:r>
        <w:t>Current technology verification (28 September 2026): Next.js 16.3.x is an Active LTS line; Node.js 24 is LTS; PostgreSQL 18 is the current major line and PostgreSQL 18.6 was released 13 August 2026. Prisma ORM 7 is the stable baseline while Prisma ORM 8 is in release-candidate status. Exact production patch versions must be pinned during implementation.</w:t>
      </w:r>
    </w:p>
    <w:p>
      <w:r>
        <w:t>These references are architecture and requirements baselines, not legal advice. Jurisdiction-specific contractual, employment, medical-data, privacy, payment, tax, child-protection, and electronic-signature obligations require legal/compliance review before production use.</w:t>
      </w:r>
    </w:p>
    <w:sectPr w:rsidR="00FC693F" w:rsidRPr="0006063C" w:rsidSect="00034616">
      <w:footerReference w:type="default" r:id="rId9"/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Sadara Platform | Confidential working document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7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595959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