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Calibri" w:hAnsi="Calibri"/>
          <w:b/>
          <w:color w:val="2E74B5"/>
          <w:sz w:val="20"/>
        </w:rPr>
        <w:t>REQUIREMENTS ADDENDUM</w:t>
      </w:r>
    </w:p>
    <w:p>
      <w:pPr>
        <w:spacing w:after="100"/>
      </w:pPr>
      <w:r>
        <w:rPr>
          <w:rFonts w:ascii="Calibri" w:hAnsi="Calibri"/>
          <w:b/>
          <w:color w:val="1F4D78"/>
          <w:sz w:val="48"/>
        </w:rPr>
        <w:t>Clara Competitor &amp; Pricing Intelligence Application</w:t>
      </w:r>
    </w:p>
    <w:p>
      <w:pPr>
        <w:spacing w:after="280"/>
      </w:pPr>
      <w:r>
        <w:rPr>
          <w:rFonts w:ascii="Calibri" w:hAnsi="Calibri"/>
          <w:color w:val="5A636E"/>
          <w:sz w:val="26"/>
        </w:rPr>
        <w:t>Edited and newly added requirements only</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cantSplit/>
        </w:trPr>
        <w:tc>
          <w:tcPr>
            <w:tcW w:type="dxa" w:w="2376"/>
            <w:shd w:fill="E8EEF5"/>
            <w:tcMar>
              <w:top w:w="80" w:type="dxa"/>
              <w:start w:w="120" w:type="dxa"/>
              <w:bottom w:w="80" w:type="dxa"/>
              <w:end w:w="120" w:type="dxa"/>
            </w:tcMar>
          </w:tcPr>
          <w:p>
            <w:r>
              <w:rPr>
                <w:rFonts w:ascii="Calibri" w:hAnsi="Calibri"/>
                <w:b/>
                <w:color w:val="1F4D78"/>
              </w:rPr>
              <w:t>Document status</w:t>
            </w:r>
          </w:p>
        </w:tc>
        <w:tc>
          <w:tcPr>
            <w:tcW w:type="dxa" w:w="6984"/>
            <w:shd w:fill="E8EEF5"/>
            <w:tcMar>
              <w:top w:w="80" w:type="dxa"/>
              <w:start w:w="120" w:type="dxa"/>
              <w:bottom w:w="80" w:type="dxa"/>
              <w:end w:w="120" w:type="dxa"/>
            </w:tcMar>
          </w:tcPr>
          <w:p>
            <w:r>
              <w:rPr>
                <w:rFonts w:ascii="Calibri" w:hAnsi="Calibri"/>
                <w:b/>
                <w:color w:val="1F4D78"/>
              </w:rPr>
              <w:t>Prepared from</w:t>
            </w:r>
          </w:p>
        </w:tc>
      </w:tr>
      <w:tr>
        <w:trPr>
          <w:cantSplit/>
        </w:trPr>
        <w:tc>
          <w:tcPr>
            <w:tcW w:type="dxa" w:w="2376"/>
            <w:vAlign w:val="top"/>
            <w:tcMar>
              <w:top w:w="80" w:type="dxa"/>
              <w:start w:w="120" w:type="dxa"/>
              <w:bottom w:w="80" w:type="dxa"/>
              <w:end w:w="120" w:type="dxa"/>
            </w:tcMar>
          </w:tcPr>
          <w:p>
            <w:r>
              <w:t>Proposed for approval</w:t>
            </w:r>
          </w:p>
        </w:tc>
        <w:tc>
          <w:tcPr>
            <w:tcW w:type="dxa" w:w="6984"/>
            <w:vAlign w:val="top"/>
            <w:tcMar>
              <w:top w:w="80" w:type="dxa"/>
              <w:start w:w="120" w:type="dxa"/>
              <w:bottom w:w="80" w:type="dxa"/>
              <w:end w:w="120" w:type="dxa"/>
            </w:tcMar>
          </w:tcPr>
          <w:p>
            <w:r>
              <w:t>Authenticated review of the deployed application and existing Clara competitor-intelligence requirements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80" w:type="dxa"/>
              <w:start w:w="120" w:type="dxa"/>
              <w:bottom w:w="80" w:type="dxa"/>
              <w:end w:w="120" w:type="dxa"/>
            </w:tcMar>
          </w:tcPr>
          <w:p>
            <w:r>
              <w:rPr>
                <w:rFonts w:ascii="Calibri" w:hAnsi="Calibri"/>
                <w:b/>
                <w:color w:val="1F4D78"/>
              </w:rPr>
              <w:t>Scope of this addendum</w:t>
            </w:r>
          </w:p>
        </w:tc>
      </w:tr>
      <w:tr>
        <w:trPr>
          <w:cantSplit/>
        </w:trPr>
        <w:tc>
          <w:tcPr>
            <w:tcW w:type="dxa" w:w="9360"/>
            <w:vAlign w:val="top"/>
            <w:tcMar>
              <w:top w:w="80" w:type="dxa"/>
              <w:start w:w="120" w:type="dxa"/>
              <w:bottom w:w="80" w:type="dxa"/>
              <w:end w:w="120" w:type="dxa"/>
            </w:tcMar>
            <w:shd w:fill="F4F6F9"/>
          </w:tcPr>
          <w:p>
            <w:r>
              <w:t>This document contains only requirements that must be changed, removed, or added. Unchanged collection, matching, compliance, retry, and evidence requirements remain governed by the existing baseline documents.</w:t>
            </w:r>
          </w:p>
        </w:tc>
      </w:tr>
    </w:tbl>
    <w:p>
      <w:pPr>
        <w:spacing w:after="0"/>
      </w:pPr>
    </w:p>
    <w:p>
      <w:pPr>
        <w:pStyle w:val="Heading1"/>
      </w:pPr>
      <w:r>
        <w:t>1. Required Changes to Existing Requirements</w:t>
      </w:r>
    </w:p>
    <w:tbl>
      <w:tblPr>
        <w:tblStyle w:val="TableGrid"/>
        <w:tblW w:type="dxa" w:w="9360"/>
        <w:jc w:val="left"/>
        <w:tblLayout w:type="fixed"/>
        <w:tblLook w:firstColumn="1" w:firstRow="1" w:lastColumn="0" w:lastRow="0" w:noHBand="0" w:noVBand="1" w:val="04A0"/>
        <w:tblInd w:w="120" w:type="dxa"/>
      </w:tblPr>
      <w:tblGrid>
        <w:gridCol w:w="3384"/>
        <w:gridCol w:w="5976"/>
      </w:tblGrid>
      <w:tr>
        <w:trPr>
          <w:tblHeader w:val="true"/>
          <w:cantSplit/>
        </w:trPr>
        <w:tc>
          <w:tcPr>
            <w:tcW w:type="dxa" w:w="3384"/>
            <w:shd w:fill="E8EEF5"/>
            <w:tcMar>
              <w:top w:w="80" w:type="dxa"/>
              <w:start w:w="120" w:type="dxa"/>
              <w:bottom w:w="80" w:type="dxa"/>
              <w:end w:w="120" w:type="dxa"/>
            </w:tcMar>
          </w:tcPr>
          <w:p>
            <w:r>
              <w:rPr>
                <w:rFonts w:ascii="Calibri" w:hAnsi="Calibri"/>
                <w:b/>
                <w:color w:val="1F4D78"/>
              </w:rPr>
              <w:t>Existing requirement or assumption</w:t>
            </w:r>
          </w:p>
        </w:tc>
        <w:tc>
          <w:tcPr>
            <w:tcW w:type="dxa" w:w="5976"/>
            <w:shd w:fill="E8EEF5"/>
            <w:tcMar>
              <w:top w:w="80" w:type="dxa"/>
              <w:start w:w="120" w:type="dxa"/>
              <w:bottom w:w="80" w:type="dxa"/>
              <w:end w:w="120" w:type="dxa"/>
            </w:tcMar>
          </w:tcPr>
          <w:p>
            <w:r>
              <w:rPr>
                <w:rFonts w:ascii="Calibri" w:hAnsi="Calibri"/>
                <w:b/>
                <w:color w:val="1F4D78"/>
              </w:rPr>
              <w:t>Required edition</w:t>
            </w:r>
          </w:p>
        </w:tc>
      </w:tr>
      <w:tr>
        <w:trPr>
          <w:cantSplit/>
        </w:trPr>
        <w:tc>
          <w:tcPr>
            <w:tcW w:type="dxa" w:w="3384"/>
            <w:vAlign w:val="top"/>
            <w:tcMar>
              <w:top w:w="80" w:type="dxa"/>
              <w:start w:w="120" w:type="dxa"/>
              <w:bottom w:w="80" w:type="dxa"/>
              <w:end w:w="120" w:type="dxa"/>
            </w:tcMar>
          </w:tcPr>
          <w:p>
            <w:r>
              <w:t>Dashboard and approval UI are outside MVP.</w:t>
            </w:r>
          </w:p>
        </w:tc>
        <w:tc>
          <w:tcPr>
            <w:tcW w:type="dxa" w:w="5976"/>
            <w:vAlign w:val="top"/>
            <w:tcMar>
              <w:top w:w="80" w:type="dxa"/>
              <w:start w:w="120" w:type="dxa"/>
              <w:bottom w:w="80" w:type="dxa"/>
              <w:end w:w="120" w:type="dxa"/>
            </w:tcMar>
          </w:tcPr>
          <w:p>
            <w:r>
              <w:t>Replace. The authenticated operational web application, Actions queue, resolution controls, Requests, basic administration, and audit visibility are MVP capabilities.</w:t>
            </w:r>
          </w:p>
        </w:tc>
      </w:tr>
      <w:tr>
        <w:trPr>
          <w:cantSplit/>
        </w:trPr>
        <w:tc>
          <w:tcPr>
            <w:tcW w:type="dxa" w:w="3384"/>
            <w:vAlign w:val="top"/>
            <w:tcMar>
              <w:top w:w="80" w:type="dxa"/>
              <w:start w:w="120" w:type="dxa"/>
              <w:bottom w:w="80" w:type="dxa"/>
              <w:end w:w="120" w:type="dxa"/>
            </w:tcMar>
          </w:tcPr>
          <w:p>
            <w:r>
              <w:t>Ambiguous matches are handled through an escalation report; approval UI is Phase 2.</w:t>
            </w:r>
          </w:p>
        </w:tc>
        <w:tc>
          <w:tcPr>
            <w:tcW w:type="dxa" w:w="5976"/>
            <w:vAlign w:val="top"/>
            <w:tcMar>
              <w:top w:w="80" w:type="dxa"/>
              <w:start w:w="120" w:type="dxa"/>
              <w:bottom w:w="80" w:type="dxa"/>
              <w:end w:w="120" w:type="dxa"/>
            </w:tcMar>
          </w:tcPr>
          <w:p>
            <w:r>
              <w:t>Replace. Every ambiguous match must be resolvable inside the application, with candidate selection, alternate URL, counterpart confirmation, No counterpart, note, and save.</w:t>
            </w:r>
          </w:p>
        </w:tc>
      </w:tr>
      <w:tr>
        <w:trPr>
          <w:cantSplit/>
        </w:trPr>
        <w:tc>
          <w:tcPr>
            <w:tcW w:type="dxa" w:w="3384"/>
            <w:vAlign w:val="top"/>
            <w:tcMar>
              <w:top w:w="80" w:type="dxa"/>
              <w:start w:w="120" w:type="dxa"/>
              <w:bottom w:w="80" w:type="dxa"/>
              <w:end w:w="120" w:type="dxa"/>
            </w:tcMar>
          </w:tcPr>
          <w:p>
            <w:r>
              <w:t>Blocked or unreadable sources produce a file-based escalation record.</w:t>
            </w:r>
          </w:p>
        </w:tc>
        <w:tc>
          <w:tcPr>
            <w:tcW w:type="dxa" w:w="5976"/>
            <w:vAlign w:val="top"/>
            <w:tcMar>
              <w:top w:w="80" w:type="dxa"/>
              <w:start w:w="120" w:type="dxa"/>
              <w:bottom w:w="80" w:type="dxa"/>
              <w:end w:w="120" w:type="dxa"/>
            </w:tcMar>
          </w:tcPr>
          <w:p>
            <w:r>
              <w:t>Replace. The application must create a persistent Action with source alternatives, verification request, manual observation entry, and approved feed/API handling.</w:t>
            </w:r>
          </w:p>
        </w:tc>
      </w:tr>
      <w:tr>
        <w:trPr>
          <w:cantSplit/>
        </w:trPr>
        <w:tc>
          <w:tcPr>
            <w:tcW w:type="dxa" w:w="3384"/>
            <w:vAlign w:val="top"/>
            <w:tcMar>
              <w:top w:w="80" w:type="dxa"/>
              <w:start w:w="120" w:type="dxa"/>
              <w:bottom w:w="80" w:type="dxa"/>
              <w:end w:w="120" w:type="dxa"/>
            </w:tcMar>
          </w:tcPr>
          <w:p>
            <w:r>
              <w:t>Reports/files are the primary operational output.</w:t>
            </w:r>
          </w:p>
        </w:tc>
        <w:tc>
          <w:tcPr>
            <w:tcW w:type="dxa" w:w="5976"/>
            <w:vAlign w:val="top"/>
            <w:tcMar>
              <w:top w:w="80" w:type="dxa"/>
              <w:start w:w="120" w:type="dxa"/>
              <w:bottom w:w="80" w:type="dxa"/>
              <w:end w:w="120" w:type="dxa"/>
            </w:tcMar>
          </w:tcPr>
          <w:p>
            <w:r>
              <w:t>Revise. Exports remain supported, but the persistent application database and operational views become the system of record.</w:t>
            </w:r>
          </w:p>
        </w:tc>
      </w:tr>
      <w:tr>
        <w:trPr>
          <w:cantSplit/>
        </w:trPr>
        <w:tc>
          <w:tcPr>
            <w:tcW w:type="dxa" w:w="3384"/>
            <w:vAlign w:val="top"/>
            <w:tcMar>
              <w:top w:w="80" w:type="dxa"/>
              <w:start w:w="120" w:type="dxa"/>
              <w:bottom w:w="80" w:type="dxa"/>
              <w:end w:w="120" w:type="dxa"/>
            </w:tcMar>
          </w:tcPr>
          <w:p>
            <w:r>
              <w:t>Multi-user roles and audit events are Phase 2.</w:t>
            </w:r>
          </w:p>
        </w:tc>
        <w:tc>
          <w:tcPr>
            <w:tcW w:type="dxa" w:w="5976"/>
            <w:vAlign w:val="top"/>
            <w:tcMar>
              <w:top w:w="80" w:type="dxa"/>
              <w:start w:w="120" w:type="dxa"/>
              <w:bottom w:w="80" w:type="dxa"/>
              <w:end w:w="120" w:type="dxa"/>
            </w:tcMar>
          </w:tcPr>
          <w:p>
            <w:r>
              <w:t>Replace. Basic User/Admin authorization and immutable audit events are MVP requirements.</w:t>
            </w:r>
          </w:p>
        </w:tc>
      </w:tr>
      <w:tr>
        <w:trPr>
          <w:cantSplit/>
        </w:trPr>
        <w:tc>
          <w:tcPr>
            <w:tcW w:type="dxa" w:w="3384"/>
            <w:vAlign w:val="top"/>
            <w:tcMar>
              <w:top w:w="80" w:type="dxa"/>
              <w:start w:w="120" w:type="dxa"/>
              <w:bottom w:w="80" w:type="dxa"/>
              <w:end w:w="120" w:type="dxa"/>
            </w:tcMar>
          </w:tcPr>
          <w:p>
            <w:r>
              <w:t>One local application process plus local or selected storage is sufficient.</w:t>
            </w:r>
          </w:p>
        </w:tc>
        <w:tc>
          <w:tcPr>
            <w:tcW w:type="dxa" w:w="5976"/>
            <w:vAlign w:val="top"/>
            <w:tcMar>
              <w:top w:w="80" w:type="dxa"/>
              <w:start w:w="120" w:type="dxa"/>
              <w:bottom w:w="80" w:type="dxa"/>
              <w:end w:w="120" w:type="dxa"/>
            </w:tcMar>
          </w:tcPr>
          <w:p>
            <w:r>
              <w:t>Revise for hosting. Application services may remain simple, but all operational writes must use durable managed storage that survives restarts and redeployments.</w:t>
            </w:r>
          </w:p>
        </w:tc>
      </w:tr>
      <w:tr>
        <w:trPr>
          <w:cantSplit/>
        </w:trPr>
        <w:tc>
          <w:tcPr>
            <w:tcW w:type="dxa" w:w="3384"/>
            <w:vAlign w:val="top"/>
            <w:tcMar>
              <w:top w:w="80" w:type="dxa"/>
              <w:start w:w="120" w:type="dxa"/>
              <w:bottom w:w="80" w:type="dxa"/>
              <w:end w:w="120" w:type="dxa"/>
            </w:tcMar>
          </w:tcPr>
          <w:p>
            <w:r>
              <w:t>Decisions may combine competitor evidence with general trends and marketing recommendations.</w:t>
            </w:r>
          </w:p>
        </w:tc>
        <w:tc>
          <w:tcPr>
            <w:tcW w:type="dxa" w:w="5976"/>
            <w:vAlign w:val="top"/>
            <w:tcMar>
              <w:top w:w="80" w:type="dxa"/>
              <w:start w:w="120" w:type="dxa"/>
              <w:bottom w:w="80" w:type="dxa"/>
              <w:end w:w="120" w:type="dxa"/>
            </w:tcMar>
          </w:tcPr>
          <w:p>
            <w:r>
              <w:t>Remove from this module. Competitor Intelligence must not provide campaigns, advertising, SEO, social-media, copywriting, content-generation, or customer-acquisition assistance.</w:t>
            </w:r>
          </w:p>
        </w:tc>
      </w:tr>
    </w:tbl>
    <w:p>
      <w:pPr>
        <w:spacing w:after="0"/>
      </w:pPr>
    </w:p>
    <w:p>
      <w:pPr>
        <w:pStyle w:val="Heading1"/>
      </w:pPr>
      <w:r>
        <w:t>2. Requirements No Longer Appropriate</w:t>
      </w:r>
    </w:p>
    <w:p>
      <w:pPr>
        <w:keepLines w:val="0"/>
        <w:widowControl w:val="0"/>
        <w:numPr>
          <w:ilvl w:val="0"/>
          <w:numId w:val="10"/>
        </w:numPr>
        <w:spacing w:after="80" w:line="300" w:lineRule="auto"/>
        <w:ind w:left="540" w:hanging="271"/>
      </w:pPr>
      <w:r>
        <w:t>Treating the deployed product as a static report with all products, competitors, offers, and human tasks on one long page.</w:t>
      </w:r>
    </w:p>
    <w:p>
      <w:pPr>
        <w:keepLines w:val="0"/>
        <w:widowControl w:val="0"/>
        <w:numPr>
          <w:ilvl w:val="0"/>
          <w:numId w:val="10"/>
        </w:numPr>
        <w:spacing w:after="80" w:line="300" w:lineRule="auto"/>
        <w:ind w:left="540" w:hanging="271"/>
      </w:pPr>
      <w:r>
        <w:t>Keeping the current Decisions page as a mixed destination for pricing, product, sales, trend, and marketing recommendations.</w:t>
      </w:r>
    </w:p>
    <w:p>
      <w:pPr>
        <w:keepLines w:val="0"/>
        <w:widowControl w:val="0"/>
        <w:numPr>
          <w:ilvl w:val="0"/>
          <w:numId w:val="10"/>
        </w:numPr>
        <w:spacing w:after="80" w:line="300" w:lineRule="auto"/>
        <w:ind w:left="540" w:hanging="271"/>
      </w:pPr>
      <w:r>
        <w:t>Treating the current beauty Trends module as part of the Competitor &amp; Pricing Intelligence Agent.</w:t>
      </w:r>
    </w:p>
    <w:p>
      <w:pPr>
        <w:keepLines w:val="0"/>
        <w:widowControl w:val="0"/>
        <w:numPr>
          <w:ilvl w:val="0"/>
          <w:numId w:val="10"/>
        </w:numPr>
        <w:spacing w:after="80" w:line="300" w:lineRule="auto"/>
        <w:ind w:left="540" w:hanging="271"/>
      </w:pPr>
      <w:r>
        <w:t>Using ephemeral instance-local files or deploy-time snapshots for users, resolutions, requests, conversations, responses, or audit records.</w:t>
      </w:r>
    </w:p>
    <w:p>
      <w:pPr>
        <w:keepLines w:val="0"/>
        <w:widowControl w:val="0"/>
        <w:numPr>
          <w:ilvl w:val="0"/>
          <w:numId w:val="10"/>
        </w:numPr>
        <w:spacing w:after="80" w:line="300" w:lineRule="auto"/>
        <w:ind w:left="540" w:hanging="271"/>
      </w:pPr>
      <w:r>
        <w:t>Using outbound links and instructional text as the complete resolution workflow for human Actions.</w:t>
      </w:r>
    </w:p>
    <w:p>
      <w:pPr>
        <w:keepLines w:val="0"/>
        <w:widowControl w:val="0"/>
        <w:numPr>
          <w:ilvl w:val="0"/>
          <w:numId w:val="10"/>
        </w:numPr>
        <w:spacing w:after="80" w:line="300" w:lineRule="auto"/>
        <w:ind w:left="540" w:hanging="271"/>
      </w:pPr>
      <w:r>
        <w:t>Using modal-only product and competitor details that cannot be bookmarked, linked, or used as stable request context.</w:t>
      </w:r>
    </w:p>
    <w:p>
      <w:pPr>
        <w:pStyle w:val="Heading1"/>
      </w:pPr>
      <w:r>
        <w:t>3. Proposed Navigation and Information Architecture</w:t>
      </w:r>
    </w:p>
    <w:tbl>
      <w:tblPr>
        <w:tblStyle w:val="TableGrid"/>
        <w:tblW w:type="dxa" w:w="9360"/>
        <w:jc w:val="left"/>
        <w:tblLayout w:type="fixed"/>
        <w:tblLook w:firstColumn="1" w:firstRow="1" w:lastColumn="0" w:lastRow="0" w:noHBand="0" w:noVBand="1" w:val="04A0"/>
        <w:tblInd w:w="120" w:type="dxa"/>
      </w:tblPr>
      <w:tblGrid>
        <w:gridCol w:w="1872"/>
        <w:gridCol w:w="7488"/>
      </w:tblGrid>
      <w:tr>
        <w:trPr>
          <w:tblHeader w:val="true"/>
          <w:cantSplit/>
        </w:trPr>
        <w:tc>
          <w:tcPr>
            <w:tcW w:type="dxa" w:w="1872"/>
            <w:shd w:fill="E8EEF5"/>
            <w:tcMar>
              <w:top w:w="80" w:type="dxa"/>
              <w:start w:w="120" w:type="dxa"/>
              <w:bottom w:w="80" w:type="dxa"/>
              <w:end w:w="120" w:type="dxa"/>
            </w:tcMar>
          </w:tcPr>
          <w:p>
            <w:r>
              <w:rPr>
                <w:rFonts w:ascii="Calibri" w:hAnsi="Calibri"/>
                <w:b/>
                <w:color w:val="1F4D78"/>
              </w:rPr>
              <w:t>Main tab</w:t>
            </w:r>
          </w:p>
        </w:tc>
        <w:tc>
          <w:tcPr>
            <w:tcW w:type="dxa" w:w="7488"/>
            <w:shd w:fill="E8EEF5"/>
            <w:tcMar>
              <w:top w:w="80" w:type="dxa"/>
              <w:start w:w="120" w:type="dxa"/>
              <w:bottom w:w="80" w:type="dxa"/>
              <w:end w:w="120" w:type="dxa"/>
            </w:tcMar>
          </w:tcPr>
          <w:p>
            <w:r>
              <w:rPr>
                <w:rFonts w:ascii="Calibri" w:hAnsi="Calibri"/>
                <w:b/>
                <w:color w:val="1F4D78"/>
              </w:rPr>
              <w:t>Required contents</w:t>
            </w:r>
          </w:p>
        </w:tc>
      </w:tr>
      <w:tr>
        <w:trPr>
          <w:cantSplit/>
        </w:trPr>
        <w:tc>
          <w:tcPr>
            <w:tcW w:type="dxa" w:w="1872"/>
            <w:vAlign w:val="top"/>
            <w:tcMar>
              <w:top w:w="80" w:type="dxa"/>
              <w:start w:w="120" w:type="dxa"/>
              <w:bottom w:w="80" w:type="dxa"/>
              <w:end w:w="120" w:type="dxa"/>
            </w:tcMar>
          </w:tcPr>
          <w:p>
            <w:r>
              <w:t>Overview</w:t>
            </w:r>
          </w:p>
        </w:tc>
        <w:tc>
          <w:tcPr>
            <w:tcW w:type="dxa" w:w="7488"/>
            <w:vAlign w:val="top"/>
            <w:tcMar>
              <w:top w:w="80" w:type="dxa"/>
              <w:start w:w="120" w:type="dxa"/>
              <w:bottom w:w="80" w:type="dxa"/>
              <w:end w:w="120" w:type="dxa"/>
            </w:tcMar>
          </w:tcPr>
          <w:p>
            <w:r>
              <w:t>Freshness, collection coverage, unresolved Actions, verified price movements, active offers, request attention, and shortcuts to the affected records.</w:t>
            </w:r>
          </w:p>
        </w:tc>
      </w:tr>
      <w:tr>
        <w:trPr>
          <w:cantSplit/>
        </w:trPr>
        <w:tc>
          <w:tcPr>
            <w:tcW w:type="dxa" w:w="1872"/>
            <w:vAlign w:val="top"/>
            <w:tcMar>
              <w:top w:w="80" w:type="dxa"/>
              <w:start w:w="120" w:type="dxa"/>
              <w:bottom w:w="80" w:type="dxa"/>
              <w:end w:w="120" w:type="dxa"/>
            </w:tcMar>
          </w:tcPr>
          <w:p>
            <w:r>
              <w:t>Products</w:t>
            </w:r>
          </w:p>
        </w:tc>
        <w:tc>
          <w:tcPr>
            <w:tcW w:type="dxa" w:w="7488"/>
            <w:vAlign w:val="top"/>
            <w:tcMar>
              <w:top w:w="80" w:type="dxa"/>
              <w:start w:w="120" w:type="dxa"/>
              <w:bottom w:w="80" w:type="dxa"/>
              <w:end w:w="120" w:type="dxa"/>
            </w:tcMar>
          </w:tcPr>
          <w:p>
            <w:r>
              <w:t>Clara catalogue; assigned competitors; match status and confidence; prices; availability; freshness; provenance; attention state; searchable and filterable list.</w:t>
            </w:r>
          </w:p>
        </w:tc>
      </w:tr>
      <w:tr>
        <w:trPr>
          <w:cantSplit/>
        </w:trPr>
        <w:tc>
          <w:tcPr>
            <w:tcW w:type="dxa" w:w="1872"/>
            <w:vAlign w:val="top"/>
            <w:tcMar>
              <w:top w:w="80" w:type="dxa"/>
              <w:start w:w="120" w:type="dxa"/>
              <w:bottom w:w="80" w:type="dxa"/>
              <w:end w:w="120" w:type="dxa"/>
            </w:tcMar>
          </w:tcPr>
          <w:p>
            <w:r>
              <w:t>Competitors</w:t>
            </w:r>
          </w:p>
        </w:tc>
        <w:tc>
          <w:tcPr>
            <w:tcW w:type="dxa" w:w="7488"/>
            <w:vAlign w:val="top"/>
            <w:tcMar>
              <w:top w:w="80" w:type="dxa"/>
              <w:start w:w="120" w:type="dxa"/>
              <w:bottom w:w="80" w:type="dxa"/>
              <w:end w:w="120" w:type="dxa"/>
            </w:tcMar>
          </w:tcPr>
          <w:p>
            <w:r>
              <w:t>Competitor directory; competitor products; source coverage; observed prices; offers; commercial profile; approved sources; and change history.</w:t>
            </w:r>
          </w:p>
        </w:tc>
      </w:tr>
      <w:tr>
        <w:trPr>
          <w:cantSplit/>
        </w:trPr>
        <w:tc>
          <w:tcPr>
            <w:tcW w:type="dxa" w:w="1872"/>
            <w:vAlign w:val="top"/>
            <w:tcMar>
              <w:top w:w="80" w:type="dxa"/>
              <w:start w:w="120" w:type="dxa"/>
              <w:bottom w:w="80" w:type="dxa"/>
              <w:end w:w="120" w:type="dxa"/>
            </w:tcMar>
          </w:tcPr>
          <w:p>
            <w:r>
              <w:t>Actions</w:t>
            </w:r>
          </w:p>
        </w:tc>
        <w:tc>
          <w:tcPr>
            <w:tcW w:type="dxa" w:w="7488"/>
            <w:vAlign w:val="top"/>
            <w:tcMar>
              <w:top w:w="80" w:type="dxa"/>
              <w:start w:w="120" w:type="dxa"/>
              <w:bottom w:w="80" w:type="dxa"/>
              <w:end w:w="120" w:type="dxa"/>
            </w:tcMar>
          </w:tcPr>
          <w:p>
            <w:r>
              <w:t>Operational work queue for ambiguous matches, unreadable sources, stale prices, missing data, and verification failures, with ownership, status, and inline resolution.</w:t>
            </w:r>
          </w:p>
        </w:tc>
      </w:tr>
      <w:tr>
        <w:trPr>
          <w:cantSplit/>
        </w:trPr>
        <w:tc>
          <w:tcPr>
            <w:tcW w:type="dxa" w:w="1872"/>
            <w:vAlign w:val="top"/>
            <w:tcMar>
              <w:top w:w="80" w:type="dxa"/>
              <w:start w:w="120" w:type="dxa"/>
              <w:bottom w:w="80" w:type="dxa"/>
              <w:end w:w="120" w:type="dxa"/>
            </w:tcMar>
          </w:tcPr>
          <w:p>
            <w:r>
              <w:t>Requests</w:t>
            </w:r>
          </w:p>
        </w:tc>
        <w:tc>
          <w:tcPr>
            <w:tcW w:type="dxa" w:w="7488"/>
            <w:vAlign w:val="top"/>
            <w:tcMar>
              <w:top w:w="80" w:type="dxa"/>
              <w:start w:w="120" w:type="dxa"/>
              <w:bottom w:w="80" w:type="dxa"/>
              <w:end w:w="120" w:type="dxa"/>
            </w:tcMar>
          </w:tcPr>
          <w:p>
            <w:r>
              <w:t>My Requests for users; queue, ownership, responses, and administration controls for admins.</w:t>
            </w:r>
          </w:p>
        </w:tc>
      </w:tr>
    </w:tbl>
    <w:p>
      <w:pPr>
        <w:spacing w:after="0"/>
      </w:pPr>
    </w:p>
    <w:p>
      <w:pPr>
        <w:pStyle w:val="Heading2"/>
      </w:pPr>
      <w:r>
        <w:t>3.1 Detail pages and global utilities</w:t>
      </w:r>
    </w:p>
    <w:p>
      <w:pPr>
        <w:keepLines w:val="0"/>
        <w:widowControl w:val="0"/>
        <w:numPr>
          <w:ilvl w:val="0"/>
          <w:numId w:val="10"/>
        </w:numPr>
        <w:spacing w:after="80" w:line="300" w:lineRule="auto"/>
        <w:ind w:left="540" w:hanging="271"/>
      </w:pPr>
      <w:r>
        <w:t>Product and competitor profiles must become routable detail pages rather than modal-only views.</w:t>
      </w:r>
    </w:p>
    <w:p>
      <w:pPr>
        <w:keepLines w:val="0"/>
        <w:widowControl w:val="0"/>
        <w:numPr>
          <w:ilvl w:val="0"/>
          <w:numId w:val="10"/>
        </w:numPr>
        <w:spacing w:after="80" w:line="300" w:lineRule="auto"/>
        <w:ind w:left="540" w:hanging="271"/>
      </w:pPr>
      <w:r>
        <w:t>Offers remain contextual to Overview, Products, and Competitors, with an optional filtered view; Offers is not a primary tab.</w:t>
      </w:r>
    </w:p>
    <w:p>
      <w:pPr>
        <w:keepLines w:val="0"/>
        <w:widowControl w:val="0"/>
        <w:numPr>
          <w:ilvl w:val="0"/>
          <w:numId w:val="10"/>
        </w:numPr>
        <w:spacing w:after="80" w:line="300" w:lineRule="auto"/>
        <w:ind w:left="540" w:hanging="271"/>
      </w:pPr>
      <w:r>
        <w:t>The current Actions needed report section moves into the Actions workspace.</w:t>
      </w:r>
    </w:p>
    <w:p>
      <w:pPr>
        <w:keepLines w:val="0"/>
        <w:widowControl w:val="0"/>
        <w:numPr>
          <w:ilvl w:val="0"/>
          <w:numId w:val="10"/>
        </w:numPr>
        <w:spacing w:after="80" w:line="300" w:lineRule="auto"/>
        <w:ind w:left="540" w:hanging="271"/>
      </w:pPr>
      <w:r>
        <w:t>Competitor-derived findings move to Overview or Actions. The current Decisions main tab is retired.</w:t>
      </w:r>
    </w:p>
    <w:p>
      <w:pPr>
        <w:keepLines w:val="0"/>
        <w:widowControl w:val="0"/>
        <w:numPr>
          <w:ilvl w:val="0"/>
          <w:numId w:val="10"/>
        </w:numPr>
        <w:spacing w:after="80" w:line="300" w:lineRule="auto"/>
        <w:ind w:left="540" w:hanging="271"/>
      </w:pPr>
      <w:r>
        <w:t>The existing beauty Trends experience is separated into an optional Market Trends module or separate application.</w:t>
      </w:r>
    </w:p>
    <w:p>
      <w:pPr>
        <w:keepLines w:val="0"/>
        <w:widowControl w:val="0"/>
        <w:numPr>
          <w:ilvl w:val="0"/>
          <w:numId w:val="10"/>
        </w:numPr>
        <w:spacing w:after="80" w:line="300" w:lineRule="auto"/>
        <w:ind w:left="540" w:hanging="271"/>
      </w:pPr>
      <w:r>
        <w:t>The Competitor Intelligence Agent is a persistent header control opening a right-side panel so it can inherit the current record context.</w:t>
      </w:r>
    </w:p>
    <w:p>
      <w:pPr>
        <w:keepLines w:val="0"/>
        <w:widowControl w:val="0"/>
        <w:numPr>
          <w:ilvl w:val="0"/>
          <w:numId w:val="10"/>
        </w:numPr>
        <w:spacing w:after="80" w:line="300" w:lineRule="auto"/>
        <w:ind w:left="540" w:hanging="271"/>
      </w:pPr>
      <w:r>
        <w:t>Send Request is a global header action and a contextual action on every supported record.</w:t>
      </w:r>
    </w:p>
    <w:p>
      <w:pPr>
        <w:keepLines w:val="0"/>
        <w:widowControl w:val="0"/>
        <w:numPr>
          <w:ilvl w:val="0"/>
          <w:numId w:val="10"/>
        </w:numPr>
        <w:spacing w:after="80" w:line="300" w:lineRule="auto"/>
        <w:ind w:left="540" w:hanging="271"/>
      </w:pPr>
      <w:r>
        <w:t>Users, Request Administration, Sources/Feeds, and Audit History live in an Admin menu, not the main business navigation.</w:t>
      </w:r>
    </w:p>
    <w:p>
      <w:pPr>
        <w:pStyle w:val="Heading1"/>
      </w:pPr>
      <w:r>
        <w:t>4. New Action Resolution Requirements</w:t>
      </w:r>
    </w:p>
    <w:p>
      <w:pPr>
        <w:pStyle w:val="Heading2"/>
      </w:pPr>
      <w:r>
        <w:t>4.1 Common Action fields</w:t>
      </w:r>
    </w:p>
    <w:p>
      <w:pPr>
        <w:keepLines w:val="0"/>
        <w:widowControl w:val="0"/>
        <w:numPr>
          <w:ilvl w:val="0"/>
          <w:numId w:val="10"/>
        </w:numPr>
        <w:spacing w:after="80" w:line="300" w:lineRule="auto"/>
        <w:ind w:left="540" w:hanging="271"/>
      </w:pPr>
      <w:r>
        <w:t>Action type and reason</w:t>
      </w:r>
    </w:p>
    <w:p>
      <w:pPr>
        <w:keepLines w:val="0"/>
        <w:widowControl w:val="0"/>
        <w:numPr>
          <w:ilvl w:val="0"/>
          <w:numId w:val="10"/>
        </w:numPr>
        <w:spacing w:after="80" w:line="300" w:lineRule="auto"/>
        <w:ind w:left="540" w:hanging="271"/>
      </w:pPr>
      <w:r>
        <w:t>Priority, status, assignee, and optional due date</w:t>
      </w:r>
    </w:p>
    <w:p>
      <w:pPr>
        <w:keepLines w:val="0"/>
        <w:widowControl w:val="0"/>
        <w:numPr>
          <w:ilvl w:val="0"/>
          <w:numId w:val="10"/>
        </w:numPr>
        <w:spacing w:after="80" w:line="300" w:lineRule="auto"/>
        <w:ind w:left="540" w:hanging="271"/>
      </w:pPr>
      <w:r>
        <w:t>Clara product, competitor, match, source, and candidate context</w:t>
      </w:r>
    </w:p>
    <w:p>
      <w:pPr>
        <w:keepLines w:val="0"/>
        <w:widowControl w:val="0"/>
        <w:numPr>
          <w:ilvl w:val="0"/>
          <w:numId w:val="10"/>
        </w:numPr>
        <w:spacing w:after="80" w:line="300" w:lineRule="auto"/>
        <w:ind w:left="540" w:hanging="271"/>
      </w:pPr>
      <w:r>
        <w:t>Source evidence, last attempt, and failure reason</w:t>
      </w:r>
    </w:p>
    <w:p>
      <w:pPr>
        <w:keepLines w:val="0"/>
        <w:widowControl w:val="0"/>
        <w:numPr>
          <w:ilvl w:val="0"/>
          <w:numId w:val="10"/>
        </w:numPr>
        <w:spacing w:after="80" w:line="300" w:lineRule="auto"/>
        <w:ind w:left="540" w:hanging="271"/>
      </w:pPr>
      <w:r>
        <w:t>Resolution note and saved outcome</w:t>
      </w:r>
    </w:p>
    <w:p>
      <w:pPr>
        <w:keepLines w:val="0"/>
        <w:widowControl w:val="0"/>
        <w:numPr>
          <w:ilvl w:val="0"/>
          <w:numId w:val="10"/>
        </w:numPr>
        <w:spacing w:after="80" w:line="300" w:lineRule="auto"/>
        <w:ind w:left="540" w:hanging="271"/>
      </w:pPr>
      <w:r>
        <w:t>Related Request and chronological activity history</w:t>
      </w:r>
    </w:p>
    <w:p>
      <w:pPr>
        <w:pStyle w:val="Heading2"/>
      </w:pPr>
      <w:r>
        <w:t>4.2 Ambiguous competitor matches</w:t>
      </w:r>
    </w:p>
    <w:p>
      <w:pPr>
        <w:keepLines w:val="0"/>
        <w:widowControl w:val="0"/>
        <w:numPr>
          <w:ilvl w:val="0"/>
          <w:numId w:val="10"/>
        </w:numPr>
        <w:spacing w:after="80" w:line="300" w:lineRule="auto"/>
        <w:ind w:left="540" w:hanging="271"/>
      </w:pPr>
      <w:r>
        <w:t>Select one of the candidate competitor products.</w:t>
      </w:r>
    </w:p>
    <w:p>
      <w:pPr>
        <w:keepLines w:val="0"/>
        <w:widowControl w:val="0"/>
        <w:numPr>
          <w:ilvl w:val="0"/>
          <w:numId w:val="10"/>
        </w:numPr>
        <w:spacing w:after="80" w:line="300" w:lineRule="auto"/>
        <w:ind w:left="540" w:hanging="271"/>
      </w:pPr>
      <w:r>
        <w:t>Enter a different competitor URL.</w:t>
      </w:r>
    </w:p>
    <w:p>
      <w:pPr>
        <w:keepLines w:val="0"/>
        <w:widowControl w:val="0"/>
        <w:numPr>
          <w:ilvl w:val="0"/>
          <w:numId w:val="10"/>
        </w:numPr>
        <w:spacing w:after="80" w:line="300" w:lineRule="auto"/>
        <w:ind w:left="540" w:hanging="271"/>
      </w:pPr>
      <w:r>
        <w:t>Confirm the selected counterpart.</w:t>
      </w:r>
    </w:p>
    <w:p>
      <w:pPr>
        <w:keepLines w:val="0"/>
        <w:widowControl w:val="0"/>
        <w:numPr>
          <w:ilvl w:val="0"/>
          <w:numId w:val="10"/>
        </w:numPr>
        <w:spacing w:after="80" w:line="300" w:lineRule="auto"/>
        <w:ind w:left="540" w:hanging="271"/>
      </w:pPr>
      <w:r>
        <w:t>Mark No counterpart.</w:t>
      </w:r>
    </w:p>
    <w:p>
      <w:pPr>
        <w:keepLines w:val="0"/>
        <w:widowControl w:val="0"/>
        <w:numPr>
          <w:ilvl w:val="0"/>
          <w:numId w:val="10"/>
        </w:numPr>
        <w:spacing w:after="80" w:line="300" w:lineRule="auto"/>
        <w:ind w:left="540" w:hanging="271"/>
      </w:pPr>
      <w:r>
        <w:t>Add a note.</w:t>
      </w:r>
    </w:p>
    <w:p>
      <w:pPr>
        <w:keepLines w:val="0"/>
        <w:widowControl w:val="0"/>
        <w:numPr>
          <w:ilvl w:val="0"/>
          <w:numId w:val="10"/>
        </w:numPr>
        <w:spacing w:after="80" w:line="300" w:lineRule="auto"/>
        <w:ind w:left="540" w:hanging="271"/>
      </w:pPr>
      <w:r>
        <w:t>Save the resolution and record the resulting match status, actor, time, before value, and after value.</w:t>
      </w:r>
    </w:p>
    <w:p>
      <w:pPr>
        <w:pStyle w:val="Heading2"/>
      </w:pPr>
      <w:r>
        <w:t>4.3 Unreadable competitor sources</w:t>
      </w:r>
    </w:p>
    <w:p>
      <w:pPr>
        <w:keepLines w:val="0"/>
        <w:widowControl w:val="0"/>
        <w:numPr>
          <w:ilvl w:val="0"/>
          <w:numId w:val="10"/>
        </w:numPr>
        <w:spacing w:after="80" w:line="300" w:lineRule="auto"/>
        <w:ind w:left="540" w:hanging="271"/>
      </w:pPr>
      <w:r>
        <w:t>Choose an alternative source from approved or suggested sources.</w:t>
      </w:r>
    </w:p>
    <w:p>
      <w:pPr>
        <w:keepLines w:val="0"/>
        <w:widowControl w:val="0"/>
        <w:numPr>
          <w:ilvl w:val="0"/>
          <w:numId w:val="10"/>
        </w:numPr>
        <w:spacing w:after="80" w:line="300" w:lineRule="auto"/>
        <w:ind w:left="540" w:hanging="271"/>
      </w:pPr>
      <w:r>
        <w:t>Enter a new source URL.</w:t>
      </w:r>
    </w:p>
    <w:p>
      <w:pPr>
        <w:keepLines w:val="0"/>
        <w:widowControl w:val="0"/>
        <w:numPr>
          <w:ilvl w:val="0"/>
          <w:numId w:val="10"/>
        </w:numPr>
        <w:spacing w:after="80" w:line="300" w:lineRule="auto"/>
        <w:ind w:left="540" w:hanging="271"/>
      </w:pPr>
      <w:r>
        <w:t>Request source verification.</w:t>
      </w:r>
    </w:p>
    <w:p>
      <w:pPr>
        <w:keepLines w:val="0"/>
        <w:widowControl w:val="0"/>
        <w:numPr>
          <w:ilvl w:val="0"/>
          <w:numId w:val="10"/>
        </w:numPr>
        <w:spacing w:after="80" w:line="300" w:lineRule="auto"/>
        <w:ind w:left="540" w:hanging="271"/>
      </w:pPr>
      <w:r>
        <w:t>Enter competitor data manually when necessary.</w:t>
      </w:r>
    </w:p>
    <w:p>
      <w:pPr>
        <w:keepLines w:val="0"/>
        <w:widowControl w:val="0"/>
        <w:numPr>
          <w:ilvl w:val="0"/>
          <w:numId w:val="10"/>
        </w:numPr>
        <w:spacing w:after="80" w:line="300" w:lineRule="auto"/>
        <w:ind w:left="540" w:hanging="271"/>
      </w:pPr>
      <w:r>
        <w:t>Record price, currency, availability, offer wording, observed date, and last-checked date.</w:t>
      </w:r>
    </w:p>
    <w:p>
      <w:pPr>
        <w:keepLines w:val="0"/>
        <w:widowControl w:val="0"/>
        <w:numPr>
          <w:ilvl w:val="0"/>
          <w:numId w:val="10"/>
        </w:numPr>
        <w:spacing w:after="80" w:line="300" w:lineRule="auto"/>
        <w:ind w:left="540" w:hanging="271"/>
      </w:pPr>
      <w:r>
        <w:t>Select or register an approved feed/API where the user's role permits.</w:t>
      </w:r>
    </w:p>
    <w:p>
      <w:pPr>
        <w:keepLines w:val="0"/>
        <w:widowControl w:val="0"/>
        <w:numPr>
          <w:ilvl w:val="0"/>
          <w:numId w:val="10"/>
        </w:numPr>
        <w:spacing w:after="80" w:line="300" w:lineRule="auto"/>
        <w:ind w:left="540" w:hanging="271"/>
      </w:pPr>
      <w:r>
        <w:t>Mark a source unavailable with a reason.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80" w:type="dxa"/>
              <w:start w:w="120" w:type="dxa"/>
              <w:bottom w:w="80" w:type="dxa"/>
              <w:end w:w="120" w:type="dxa"/>
            </w:tcMar>
          </w:tcPr>
          <w:p>
            <w:r>
              <w:rPr>
                <w:rFonts w:ascii="Calibri" w:hAnsi="Calibri"/>
                <w:b/>
                <w:color w:val="1F4D78"/>
              </w:rPr>
              <w:t>Atomic save rule</w:t>
            </w:r>
          </w:p>
        </w:tc>
      </w:tr>
      <w:tr>
        <w:trPr>
          <w:cantSplit/>
        </w:trPr>
        <w:tc>
          <w:tcPr>
            <w:tcW w:type="dxa" w:w="9360"/>
            <w:vAlign w:val="top"/>
            <w:tcMar>
              <w:top w:w="80" w:type="dxa"/>
              <w:start w:w="120" w:type="dxa"/>
              <w:bottom w:w="80" w:type="dxa"/>
              <w:end w:w="120" w:type="dxa"/>
            </w:tcMar>
            <w:shd w:fill="F4F6F9"/>
          </w:tcPr>
          <w:p>
            <w:r>
              <w:t>Saving a resolution must update the relevant match, source, or observation; transition the Action; and append its audit event in one transaction. A partial save is not acceptable.</w:t>
            </w:r>
          </w:p>
        </w:tc>
      </w:tr>
    </w:tbl>
    <w:p>
      <w:pPr>
        <w:spacing w:after="0"/>
      </w:pPr>
    </w:p>
    <w:p>
      <w:pPr>
        <w:pStyle w:val="Heading1"/>
      </w:pPr>
      <w:r>
        <w:t>5. Send Request Requirements</w:t>
      </w:r>
    </w:p>
    <w:p>
      <w:pPr>
        <w:pStyle w:val="Heading2"/>
      </w:pPr>
      <w:r>
        <w:t>5.1 Request types</w:t>
      </w:r>
    </w:p>
    <w:p>
      <w:pPr>
        <w:keepLines w:val="0"/>
        <w:widowControl w:val="0"/>
        <w:numPr>
          <w:ilvl w:val="0"/>
          <w:numId w:val="10"/>
        </w:numPr>
        <w:spacing w:after="80" w:line="300" w:lineRule="auto"/>
        <w:ind w:left="540" w:hanging="271"/>
      </w:pPr>
      <w:r>
        <w:t>Review Product Match</w:t>
      </w:r>
    </w:p>
    <w:p>
      <w:pPr>
        <w:keepLines w:val="0"/>
        <w:widowControl w:val="0"/>
        <w:numPr>
          <w:ilvl w:val="0"/>
          <w:numId w:val="10"/>
        </w:numPr>
        <w:spacing w:after="80" w:line="300" w:lineRule="auto"/>
        <w:ind w:left="540" w:hanging="271"/>
      </w:pPr>
      <w:r>
        <w:t>Verify Competitor Price</w:t>
      </w:r>
    </w:p>
    <w:p>
      <w:pPr>
        <w:keepLines w:val="0"/>
        <w:widowControl w:val="0"/>
        <w:numPr>
          <w:ilvl w:val="0"/>
          <w:numId w:val="10"/>
        </w:numPr>
        <w:spacing w:after="80" w:line="300" w:lineRule="auto"/>
        <w:ind w:left="540" w:hanging="271"/>
      </w:pPr>
      <w:r>
        <w:t>Review Data Source</w:t>
      </w:r>
    </w:p>
    <w:p>
      <w:pPr>
        <w:keepLines w:val="0"/>
        <w:widowControl w:val="0"/>
        <w:numPr>
          <w:ilvl w:val="0"/>
          <w:numId w:val="10"/>
        </w:numPr>
        <w:spacing w:after="80" w:line="300" w:lineRule="auto"/>
        <w:ind w:left="540" w:hanging="271"/>
      </w:pPr>
      <w:r>
        <w:t>Report Incorrect Data</w:t>
      </w:r>
    </w:p>
    <w:p>
      <w:pPr>
        <w:keepLines w:val="0"/>
        <w:widowControl w:val="0"/>
        <w:numPr>
          <w:ilvl w:val="0"/>
          <w:numId w:val="10"/>
        </w:numPr>
        <w:spacing w:after="80" w:line="300" w:lineRule="auto"/>
        <w:ind w:left="540" w:hanging="271"/>
      </w:pPr>
      <w:r>
        <w:t>Investigate Missing Competitor Data</w:t>
      </w:r>
    </w:p>
    <w:p>
      <w:pPr>
        <w:keepLines w:val="0"/>
        <w:widowControl w:val="0"/>
        <w:numPr>
          <w:ilvl w:val="0"/>
          <w:numId w:val="10"/>
        </w:numPr>
        <w:spacing w:after="80" w:line="300" w:lineRule="auto"/>
        <w:ind w:left="540" w:hanging="271"/>
      </w:pPr>
      <w:r>
        <w:t>Add/Review Competitor</w:t>
      </w:r>
    </w:p>
    <w:p>
      <w:pPr>
        <w:keepLines w:val="0"/>
        <w:widowControl w:val="0"/>
        <w:numPr>
          <w:ilvl w:val="0"/>
          <w:numId w:val="10"/>
        </w:numPr>
        <w:spacing w:after="80" w:line="300" w:lineRule="auto"/>
        <w:ind w:left="540" w:hanging="271"/>
      </w:pPr>
      <w:r>
        <w:t>Request Manual Verification</w:t>
      </w:r>
    </w:p>
    <w:p>
      <w:pPr>
        <w:keepLines w:val="0"/>
        <w:widowControl w:val="0"/>
        <w:numPr>
          <w:ilvl w:val="0"/>
          <w:numId w:val="10"/>
        </w:numPr>
        <w:spacing w:after="80" w:line="300" w:lineRule="auto"/>
        <w:ind w:left="540" w:hanging="271"/>
      </w:pPr>
      <w:r>
        <w:t>Other</w:t>
      </w:r>
    </w:p>
    <w:p>
      <w:pPr>
        <w:pStyle w:val="Heading2"/>
      </w:pPr>
      <w:r>
        <w:t>5.2 Context and fields</w:t>
      </w:r>
    </w:p>
    <w:p>
      <w:pPr>
        <w:keepLines w:val="0"/>
        <w:widowControl w:val="0"/>
        <w:numPr>
          <w:ilvl w:val="0"/>
          <w:numId w:val="10"/>
        </w:numPr>
        <w:spacing w:after="80" w:line="300" w:lineRule="auto"/>
        <w:ind w:left="540" w:hanging="271"/>
      </w:pPr>
      <w:r>
        <w:t>A Request may link to a Clara product, competitor, competitor match, price observation, offer, Action, or source URL.</w:t>
      </w:r>
    </w:p>
    <w:p>
      <w:pPr>
        <w:keepLines w:val="0"/>
        <w:widowControl w:val="0"/>
        <w:numPr>
          <w:ilvl w:val="0"/>
          <w:numId w:val="10"/>
        </w:numPr>
        <w:spacing w:after="80" w:line="300" w:lineRule="auto"/>
        <w:ind w:left="540" w:hanging="271"/>
      </w:pPr>
      <w:r>
        <w:t>Opening Send Request from a supported record must prefill that context.</w:t>
      </w:r>
    </w:p>
    <w:p>
      <w:pPr>
        <w:keepLines w:val="0"/>
        <w:widowControl w:val="0"/>
        <w:numPr>
          <w:ilvl w:val="0"/>
          <w:numId w:val="10"/>
        </w:numPr>
        <w:spacing w:after="80" w:line="300" w:lineRule="auto"/>
        <w:ind w:left="540" w:hanging="271"/>
      </w:pPr>
      <w:r>
        <w:t>Required fields are request type, subject, description, requester, status, created time, and updated time.</w:t>
      </w:r>
    </w:p>
    <w:p>
      <w:pPr>
        <w:keepLines w:val="0"/>
        <w:widowControl w:val="0"/>
        <w:numPr>
          <w:ilvl w:val="0"/>
          <w:numId w:val="10"/>
        </w:numPr>
        <w:spacing w:after="80" w:line="300" w:lineRule="auto"/>
        <w:ind w:left="540" w:hanging="271"/>
      </w:pPr>
      <w:r>
        <w:t>Optional fields include priority, attachments or evidence references, linked records, and preferred response detail.</w:t>
      </w:r>
    </w:p>
    <w:p>
      <w:pPr>
        <w:keepLines w:val="0"/>
        <w:widowControl w:val="0"/>
        <w:numPr>
          <w:ilvl w:val="0"/>
          <w:numId w:val="10"/>
        </w:numPr>
        <w:spacing w:after="80" w:line="300" w:lineRule="auto"/>
        <w:ind w:left="540" w:hanging="271"/>
      </w:pPr>
      <w:r>
        <w:t>Administrative fields include owner, responses, activity, resolution, and closure reason.</w:t>
      </w:r>
    </w:p>
    <w:p>
      <w:pPr>
        <w:pStyle w:val="Heading2"/>
      </w:pPr>
      <w:r>
        <w:t>5.3 Simplest request workflow</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cantSplit/>
        </w:trPr>
        <w:tc>
          <w:tcPr>
            <w:tcW w:type="dxa" w:w="2376"/>
            <w:shd w:fill="E8EEF5"/>
            <w:tcMar>
              <w:top w:w="80" w:type="dxa"/>
              <w:start w:w="120" w:type="dxa"/>
              <w:bottom w:w="80" w:type="dxa"/>
              <w:end w:w="120" w:type="dxa"/>
            </w:tcMar>
          </w:tcPr>
          <w:p>
            <w:r>
              <w:rPr>
                <w:rFonts w:ascii="Calibri" w:hAnsi="Calibri"/>
                <w:b/>
                <w:color w:val="1F4D78"/>
              </w:rPr>
              <w:t>Status</w:t>
            </w:r>
          </w:p>
        </w:tc>
        <w:tc>
          <w:tcPr>
            <w:tcW w:type="dxa" w:w="6984"/>
            <w:shd w:fill="E8EEF5"/>
            <w:tcMar>
              <w:top w:w="80" w:type="dxa"/>
              <w:start w:w="120" w:type="dxa"/>
              <w:bottom w:w="80" w:type="dxa"/>
              <w:end w:w="120" w:type="dxa"/>
            </w:tcMar>
          </w:tcPr>
          <w:p>
            <w:r>
              <w:rPr>
                <w:rFonts w:ascii="Calibri" w:hAnsi="Calibri"/>
                <w:b/>
                <w:color w:val="1F4D78"/>
              </w:rPr>
              <w:t>Meaning and permitted next step</w:t>
            </w:r>
          </w:p>
        </w:tc>
      </w:tr>
      <w:tr>
        <w:trPr>
          <w:cantSplit/>
        </w:trPr>
        <w:tc>
          <w:tcPr>
            <w:tcW w:type="dxa" w:w="2376"/>
            <w:vAlign w:val="top"/>
            <w:tcMar>
              <w:top w:w="80" w:type="dxa"/>
              <w:start w:w="120" w:type="dxa"/>
              <w:bottom w:w="80" w:type="dxa"/>
              <w:end w:w="120" w:type="dxa"/>
            </w:tcMar>
          </w:tcPr>
          <w:p>
            <w:r>
              <w:t>New</w:t>
            </w:r>
          </w:p>
        </w:tc>
        <w:tc>
          <w:tcPr>
            <w:tcW w:type="dxa" w:w="6984"/>
            <w:vAlign w:val="top"/>
            <w:tcMar>
              <w:top w:w="80" w:type="dxa"/>
              <w:start w:w="120" w:type="dxa"/>
              <w:bottom w:w="80" w:type="dxa"/>
              <w:end w:w="120" w:type="dxa"/>
            </w:tcMar>
          </w:tcPr>
          <w:p>
            <w:r>
              <w:t>Submitted and awaiting triage; admin moves it to In progress.</w:t>
            </w:r>
          </w:p>
        </w:tc>
      </w:tr>
      <w:tr>
        <w:trPr>
          <w:cantSplit/>
        </w:trPr>
        <w:tc>
          <w:tcPr>
            <w:tcW w:type="dxa" w:w="2376"/>
            <w:vAlign w:val="top"/>
            <w:tcMar>
              <w:top w:w="80" w:type="dxa"/>
              <w:start w:w="120" w:type="dxa"/>
              <w:bottom w:w="80" w:type="dxa"/>
              <w:end w:w="120" w:type="dxa"/>
            </w:tcMar>
          </w:tcPr>
          <w:p>
            <w:r>
              <w:t>In progress</w:t>
            </w:r>
          </w:p>
        </w:tc>
        <w:tc>
          <w:tcPr>
            <w:tcW w:type="dxa" w:w="6984"/>
            <w:vAlign w:val="top"/>
            <w:tcMar>
              <w:top w:w="80" w:type="dxa"/>
              <w:start w:w="120" w:type="dxa"/>
              <w:bottom w:w="80" w:type="dxa"/>
              <w:end w:w="120" w:type="dxa"/>
            </w:tcMar>
          </w:tcPr>
          <w:p>
            <w:r>
              <w:t>Owned and under investigation; may move to Waiting for information or Resolved.</w:t>
            </w:r>
          </w:p>
        </w:tc>
      </w:tr>
      <w:tr>
        <w:trPr>
          <w:cantSplit/>
        </w:trPr>
        <w:tc>
          <w:tcPr>
            <w:tcW w:type="dxa" w:w="2376"/>
            <w:vAlign w:val="top"/>
            <w:tcMar>
              <w:top w:w="80" w:type="dxa"/>
              <w:start w:w="120" w:type="dxa"/>
              <w:bottom w:w="80" w:type="dxa"/>
              <w:end w:w="120" w:type="dxa"/>
            </w:tcMar>
          </w:tcPr>
          <w:p>
            <w:r>
              <w:t>Waiting for information</w:t>
            </w:r>
          </w:p>
        </w:tc>
        <w:tc>
          <w:tcPr>
            <w:tcW w:type="dxa" w:w="6984"/>
            <w:vAlign w:val="top"/>
            <w:tcMar>
              <w:top w:w="80" w:type="dxa"/>
              <w:start w:w="120" w:type="dxa"/>
              <w:bottom w:w="80" w:type="dxa"/>
              <w:end w:w="120" w:type="dxa"/>
            </w:tcMar>
          </w:tcPr>
          <w:p>
            <w:r>
              <w:t>Admin needs requester input; requester reply returns it to In progress.</w:t>
            </w:r>
          </w:p>
        </w:tc>
      </w:tr>
      <w:tr>
        <w:trPr>
          <w:cantSplit/>
        </w:trPr>
        <w:tc>
          <w:tcPr>
            <w:tcW w:type="dxa" w:w="2376"/>
            <w:vAlign w:val="top"/>
            <w:tcMar>
              <w:top w:w="80" w:type="dxa"/>
              <w:start w:w="120" w:type="dxa"/>
              <w:bottom w:w="80" w:type="dxa"/>
              <w:end w:w="120" w:type="dxa"/>
            </w:tcMar>
          </w:tcPr>
          <w:p>
            <w:r>
              <w:t>Resolved</w:t>
            </w:r>
          </w:p>
        </w:tc>
        <w:tc>
          <w:tcPr>
            <w:tcW w:type="dxa" w:w="6984"/>
            <w:vAlign w:val="top"/>
            <w:tcMar>
              <w:top w:w="80" w:type="dxa"/>
              <w:start w:w="120" w:type="dxa"/>
              <w:bottom w:w="80" w:type="dxa"/>
              <w:end w:w="120" w:type="dxa"/>
            </w:tcMar>
          </w:tcPr>
          <w:p>
            <w:r>
              <w:t>An answer or corrective action has been supplied; may be Closed or reopened.</w:t>
            </w:r>
          </w:p>
        </w:tc>
      </w:tr>
      <w:tr>
        <w:trPr>
          <w:cantSplit/>
        </w:trPr>
        <w:tc>
          <w:tcPr>
            <w:tcW w:type="dxa" w:w="2376"/>
            <w:vAlign w:val="top"/>
            <w:tcMar>
              <w:top w:w="80" w:type="dxa"/>
              <w:start w:w="120" w:type="dxa"/>
              <w:bottom w:w="80" w:type="dxa"/>
              <w:end w:w="120" w:type="dxa"/>
            </w:tcMar>
          </w:tcPr>
          <w:p>
            <w:r>
              <w:t>Closed</w:t>
            </w:r>
          </w:p>
        </w:tc>
        <w:tc>
          <w:tcPr>
            <w:tcW w:type="dxa" w:w="6984"/>
            <w:vAlign w:val="top"/>
            <w:tcMar>
              <w:top w:w="80" w:type="dxa"/>
              <w:start w:w="120" w:type="dxa"/>
              <w:bottom w:w="80" w:type="dxa"/>
              <w:end w:w="120" w:type="dxa"/>
            </w:tcMar>
          </w:tcPr>
          <w:p>
            <w:r>
              <w:t>No further work is expected; admins may reopen when justified.</w:t>
            </w:r>
          </w:p>
        </w:tc>
      </w:tr>
    </w:tbl>
    <w:p>
      <w:pPr>
        <w:spacing w:after="0"/>
      </w:pPr>
    </w:p>
    <w:p>
      <w:pPr>
        <w:pStyle w:val="Heading1"/>
      </w:pPr>
      <w:r>
        <w:t>6. Competitor Intelligence Agent Requirements</w:t>
      </w:r>
    </w:p>
    <w:p>
      <w:pPr>
        <w:pStyle w:val="Heading2"/>
      </w:pPr>
      <w:r>
        <w:t>6.1 Allowed purpose</w:t>
      </w:r>
    </w:p>
    <w:p>
      <w:pPr>
        <w:keepLines w:val="0"/>
        <w:widowControl w:val="0"/>
        <w:numPr>
          <w:ilvl w:val="0"/>
          <w:numId w:val="10"/>
        </w:numPr>
        <w:spacing w:after="80" w:line="300" w:lineRule="auto"/>
        <w:ind w:left="540" w:hanging="271"/>
      </w:pPr>
      <w:r>
        <w:t>Explain competitor products and Clara-to-competitor matches.</w:t>
      </w:r>
    </w:p>
    <w:p>
      <w:pPr>
        <w:keepLines w:val="0"/>
        <w:widowControl w:val="0"/>
        <w:numPr>
          <w:ilvl w:val="0"/>
          <w:numId w:val="10"/>
        </w:numPr>
        <w:spacing w:after="80" w:line="300" w:lineRule="auto"/>
        <w:ind w:left="540" w:hanging="271"/>
      </w:pPr>
      <w:r>
        <w:t>Explain prices, price differences, offers, availability, and observation history.</w:t>
      </w:r>
    </w:p>
    <w:p>
      <w:pPr>
        <w:keepLines w:val="0"/>
        <w:widowControl w:val="0"/>
        <w:numPr>
          <w:ilvl w:val="0"/>
          <w:numId w:val="10"/>
        </w:numPr>
        <w:spacing w:after="80" w:line="300" w:lineRule="auto"/>
        <w:ind w:left="540" w:hanging="271"/>
      </w:pPr>
      <w:r>
        <w:t>Identify source provenance, readability failures, freshness, and last-checked time.</w:t>
      </w:r>
    </w:p>
    <w:p>
      <w:pPr>
        <w:keepLines w:val="0"/>
        <w:widowControl w:val="0"/>
        <w:numPr>
          <w:ilvl w:val="0"/>
          <w:numId w:val="10"/>
        </w:numPr>
        <w:spacing w:after="80" w:line="300" w:lineRule="auto"/>
        <w:ind w:left="540" w:hanging="271"/>
      </w:pPr>
      <w:r>
        <w:t>Explain match confidence, human confirmations, manual data, and outstanding Actions.</w:t>
      </w:r>
    </w:p>
    <w:p>
      <w:pPr>
        <w:keepLines w:val="0"/>
        <w:widowControl w:val="0"/>
        <w:numPr>
          <w:ilvl w:val="0"/>
          <w:numId w:val="10"/>
        </w:numPr>
        <w:spacing w:after="80" w:line="300" w:lineRule="auto"/>
        <w:ind w:left="540" w:hanging="271"/>
      </w:pPr>
      <w:r>
        <w:t>Answer questions about unresolved matches, missing data, verification needs, and competitor changes.</w:t>
      </w:r>
    </w:p>
    <w:p>
      <w:pPr>
        <w:pStyle w:val="Heading2"/>
      </w:pPr>
      <w:r>
        <w:t>6.2 Explicit exclusions</w:t>
      </w:r>
    </w:p>
    <w:p>
      <w:pPr>
        <w:keepLines w:val="0"/>
        <w:widowControl w:val="0"/>
        <w:numPr>
          <w:ilvl w:val="0"/>
          <w:numId w:val="10"/>
        </w:numPr>
        <w:spacing w:after="80" w:line="300" w:lineRule="auto"/>
        <w:ind w:left="540" w:hanging="271"/>
      </w:pPr>
      <w:r>
        <w:t>Marketing campaigns</w:t>
      </w:r>
    </w:p>
    <w:p>
      <w:pPr>
        <w:keepLines w:val="0"/>
        <w:widowControl w:val="0"/>
        <w:numPr>
          <w:ilvl w:val="0"/>
          <w:numId w:val="10"/>
        </w:numPr>
        <w:spacing w:after="80" w:line="300" w:lineRule="auto"/>
        <w:ind w:left="540" w:hanging="271"/>
      </w:pPr>
      <w:r>
        <w:t>Advertising</w:t>
      </w:r>
    </w:p>
    <w:p>
      <w:pPr>
        <w:keepLines w:val="0"/>
        <w:widowControl w:val="0"/>
        <w:numPr>
          <w:ilvl w:val="0"/>
          <w:numId w:val="10"/>
        </w:numPr>
        <w:spacing w:after="80" w:line="300" w:lineRule="auto"/>
        <w:ind w:left="540" w:hanging="271"/>
      </w:pPr>
      <w:r>
        <w:t>SEO</w:t>
      </w:r>
    </w:p>
    <w:p>
      <w:pPr>
        <w:keepLines w:val="0"/>
        <w:widowControl w:val="0"/>
        <w:numPr>
          <w:ilvl w:val="0"/>
          <w:numId w:val="10"/>
        </w:numPr>
        <w:spacing w:after="80" w:line="300" w:lineRule="auto"/>
        <w:ind w:left="540" w:hanging="271"/>
      </w:pPr>
      <w:r>
        <w:t>Social media</w:t>
      </w:r>
    </w:p>
    <w:p>
      <w:pPr>
        <w:keepLines w:val="0"/>
        <w:widowControl w:val="0"/>
        <w:numPr>
          <w:ilvl w:val="0"/>
          <w:numId w:val="10"/>
        </w:numPr>
        <w:spacing w:after="80" w:line="300" w:lineRule="auto"/>
        <w:ind w:left="540" w:hanging="271"/>
      </w:pPr>
      <w:r>
        <w:t>Copywriting or content generation</w:t>
      </w:r>
    </w:p>
    <w:p>
      <w:pPr>
        <w:keepLines w:val="0"/>
        <w:widowControl w:val="0"/>
        <w:numPr>
          <w:ilvl w:val="0"/>
          <w:numId w:val="10"/>
        </w:numPr>
        <w:spacing w:after="80" w:line="300" w:lineRule="auto"/>
        <w:ind w:left="540" w:hanging="271"/>
      </w:pPr>
      <w:r>
        <w:t>Customer acquisition</w:t>
      </w:r>
    </w:p>
    <w:p>
      <w:pPr>
        <w:pStyle w:val="Heading2"/>
      </w:pPr>
      <w:r>
        <w:t>6.3 Response behavior</w:t>
      </w:r>
    </w:p>
    <w:p>
      <w:pPr>
        <w:keepLines w:val="0"/>
        <w:widowControl w:val="0"/>
        <w:numPr>
          <w:ilvl w:val="0"/>
          <w:numId w:val="10"/>
        </w:numPr>
        <w:spacing w:after="80" w:line="300" w:lineRule="auto"/>
        <w:ind w:left="540" w:hanging="271"/>
      </w:pPr>
      <w:r>
        <w:t>Ground responses in stored competitor-intelligence records and cite the relevant internal records and source URLs.</w:t>
      </w:r>
    </w:p>
    <w:p>
      <w:pPr>
        <w:keepLines w:val="0"/>
        <w:widowControl w:val="0"/>
        <w:numPr>
          <w:ilvl w:val="0"/>
          <w:numId w:val="10"/>
        </w:numPr>
        <w:spacing w:after="80" w:line="300" w:lineRule="auto"/>
        <w:ind w:left="540" w:hanging="271"/>
      </w:pPr>
      <w:r>
        <w:t>Clearly distinguish observed facts, human-confirmed values, manually entered values, approved feed/API data, and inference.</w:t>
      </w:r>
    </w:p>
    <w:p>
      <w:pPr>
        <w:keepLines w:val="0"/>
        <w:widowControl w:val="0"/>
        <w:numPr>
          <w:ilvl w:val="0"/>
          <w:numId w:val="10"/>
        </w:numPr>
        <w:spacing w:after="80" w:line="300" w:lineRule="auto"/>
        <w:ind w:left="540" w:hanging="271"/>
      </w:pPr>
      <w:r>
        <w:t>State when evidence is missing, stale, inaccessible, conflicting, or insufficient.</w:t>
      </w:r>
    </w:p>
    <w:p>
      <w:pPr>
        <w:keepLines w:val="0"/>
        <w:widowControl w:val="0"/>
        <w:numPr>
          <w:ilvl w:val="0"/>
          <w:numId w:val="10"/>
        </w:numPr>
        <w:spacing w:after="80" w:line="300" w:lineRule="auto"/>
        <w:ind w:left="540" w:hanging="271"/>
      </w:pPr>
      <w:r>
        <w:t>Inherit the current page or record context and allow the user to open cited records or sources.</w:t>
      </w:r>
    </w:p>
    <w:p>
      <w:pPr>
        <w:keepLines w:val="0"/>
        <w:widowControl w:val="0"/>
        <w:numPr>
          <w:ilvl w:val="0"/>
          <w:numId w:val="10"/>
        </w:numPr>
        <w:spacing w:after="80" w:line="300" w:lineRule="auto"/>
        <w:ind w:left="540" w:hanging="271"/>
      </w:pPr>
      <w:r>
        <w:t>Offer Send Request when human investigation is required; do not pretend the question has been resolved.</w:t>
      </w:r>
    </w:p>
    <w:p>
      <w:pPr>
        <w:pStyle w:val="Heading1"/>
      </w:pPr>
      <w:r>
        <w:t>7. Agent to Request to Admin Workflow</w:t>
      </w:r>
    </w:p>
    <w:p>
      <w:pPr>
        <w:keepLines w:val="0"/>
        <w:widowControl w:val="0"/>
        <w:numPr>
          <w:ilvl w:val="0"/>
          <w:numId w:val="11"/>
        </w:numPr>
        <w:spacing w:after="80" w:line="300" w:lineRule="auto"/>
        <w:ind w:left="540" w:hanging="271"/>
      </w:pPr>
      <w:r>
        <w:t>User asks the Agent a competitor-intelligence question.</w:t>
      </w:r>
    </w:p>
    <w:p>
      <w:pPr>
        <w:keepLines w:val="0"/>
        <w:widowControl w:val="0"/>
        <w:numPr>
          <w:ilvl w:val="0"/>
          <w:numId w:val="11"/>
        </w:numPr>
        <w:spacing w:after="80" w:line="300" w:lineRule="auto"/>
        <w:ind w:left="540" w:hanging="271"/>
      </w:pPr>
      <w:r>
        <w:t>The Agent answers from available evidence when possible.</w:t>
      </w:r>
    </w:p>
    <w:p>
      <w:pPr>
        <w:keepLines w:val="0"/>
        <w:widowControl w:val="0"/>
        <w:numPr>
          <w:ilvl w:val="0"/>
          <w:numId w:val="11"/>
        </w:numPr>
        <w:spacing w:after="80" w:line="300" w:lineRule="auto"/>
        <w:ind w:left="540" w:hanging="271"/>
      </w:pPr>
      <w:r>
        <w:t>If evidence is insufficient, the Agent explains the gap and offers Send Request.</w:t>
      </w:r>
    </w:p>
    <w:p>
      <w:pPr>
        <w:keepLines w:val="0"/>
        <w:widowControl w:val="0"/>
        <w:numPr>
          <w:ilvl w:val="0"/>
          <w:numId w:val="11"/>
        </w:numPr>
        <w:spacing w:after="80" w:line="300" w:lineRule="auto"/>
        <w:ind w:left="540" w:hanging="271"/>
      </w:pPr>
      <w:r>
        <w:t>The Request is created with conversation summary, citations, missing evidence, and current record context.</w:t>
      </w:r>
    </w:p>
    <w:p>
      <w:pPr>
        <w:keepLines w:val="0"/>
        <w:widowControl w:val="0"/>
        <w:numPr>
          <w:ilvl w:val="0"/>
          <w:numId w:val="11"/>
        </w:numPr>
        <w:spacing w:after="80" w:line="300" w:lineRule="auto"/>
        <w:ind w:left="540" w:hanging="271"/>
      </w:pPr>
      <w:r>
        <w:t>An admin receives and owns the Request, investigates, and responds.</w:t>
      </w:r>
    </w:p>
    <w:p>
      <w:pPr>
        <w:keepLines w:val="0"/>
        <w:widowControl w:val="0"/>
        <w:numPr>
          <w:ilvl w:val="0"/>
          <w:numId w:val="11"/>
        </w:numPr>
        <w:spacing w:after="80" w:line="300" w:lineRule="auto"/>
        <w:ind w:left="540" w:hanging="271"/>
      </w:pPr>
      <w:r>
        <w:t>The admin may correct related intelligence data through the normal audited workflows.</w:t>
      </w:r>
    </w:p>
    <w:p>
      <w:pPr>
        <w:keepLines w:val="0"/>
        <w:widowControl w:val="0"/>
        <w:numPr>
          <w:ilvl w:val="0"/>
          <w:numId w:val="11"/>
        </w:numPr>
        <w:spacing w:after="80" w:line="300" w:lineRule="auto"/>
        <w:ind w:left="540" w:hanging="271"/>
      </w:pPr>
      <w:r>
        <w:t>The user sees Request status and responses in My Requests.</w:t>
      </w:r>
    </w:p>
    <w:p>
      <w:pPr>
        <w:keepLines w:val="0"/>
        <w:widowControl w:val="0"/>
        <w:numPr>
          <w:ilvl w:val="0"/>
          <w:numId w:val="11"/>
        </w:numPr>
        <w:spacing w:after="80" w:line="300" w:lineRule="auto"/>
        <w:ind w:left="540" w:hanging="271"/>
      </w:pPr>
      <w:r>
        <w:t>Administrative data changes are recorded independently from the conversation and Request messages.</w:t>
      </w:r>
    </w:p>
    <w:p>
      <w:pPr>
        <w:pStyle w:val="Heading1"/>
      </w:pPr>
      <w:r>
        <w:t>8. Audit and Provenance Requirements</w:t>
      </w:r>
    </w:p>
    <w:p>
      <w:pPr>
        <w:pStyle w:val="Heading2"/>
      </w:pPr>
      <w:r>
        <w:t>8.1 Required audit fields</w:t>
      </w:r>
    </w:p>
    <w:p>
      <w:pPr>
        <w:keepLines w:val="0"/>
        <w:widowControl w:val="0"/>
        <w:numPr>
          <w:ilvl w:val="0"/>
          <w:numId w:val="10"/>
        </w:numPr>
        <w:spacing w:after="80" w:line="300" w:lineRule="auto"/>
        <w:ind w:left="540" w:hanging="271"/>
      </w:pPr>
      <w:r>
        <w:t>Actor and role</w:t>
      </w:r>
    </w:p>
    <w:p>
      <w:pPr>
        <w:keepLines w:val="0"/>
        <w:widowControl w:val="0"/>
        <w:numPr>
          <w:ilvl w:val="0"/>
          <w:numId w:val="10"/>
        </w:numPr>
        <w:spacing w:after="80" w:line="300" w:lineRule="auto"/>
        <w:ind w:left="540" w:hanging="271"/>
      </w:pPr>
      <w:r>
        <w:t>Date/time</w:t>
      </w:r>
    </w:p>
    <w:p>
      <w:pPr>
        <w:keepLines w:val="0"/>
        <w:widowControl w:val="0"/>
        <w:numPr>
          <w:ilvl w:val="0"/>
          <w:numId w:val="10"/>
        </w:numPr>
        <w:spacing w:after="80" w:line="300" w:lineRule="auto"/>
        <w:ind w:left="540" w:hanging="271"/>
      </w:pPr>
      <w:r>
        <w:t>Change type</w:t>
      </w:r>
    </w:p>
    <w:p>
      <w:pPr>
        <w:keepLines w:val="0"/>
        <w:widowControl w:val="0"/>
        <w:numPr>
          <w:ilvl w:val="0"/>
          <w:numId w:val="10"/>
        </w:numPr>
        <w:spacing w:after="80" w:line="300" w:lineRule="auto"/>
        <w:ind w:left="540" w:hanging="271"/>
      </w:pPr>
      <w:r>
        <w:t>Before and after values</w:t>
      </w:r>
    </w:p>
    <w:p>
      <w:pPr>
        <w:keepLines w:val="0"/>
        <w:widowControl w:val="0"/>
        <w:numPr>
          <w:ilvl w:val="0"/>
          <w:numId w:val="10"/>
        </w:numPr>
        <w:spacing w:after="80" w:line="300" w:lineRule="auto"/>
        <w:ind w:left="540" w:hanging="271"/>
      </w:pPr>
      <w:r>
        <w:t>Product</w:t>
      </w:r>
    </w:p>
    <w:p>
      <w:pPr>
        <w:keepLines w:val="0"/>
        <w:widowControl w:val="0"/>
        <w:numPr>
          <w:ilvl w:val="0"/>
          <w:numId w:val="10"/>
        </w:numPr>
        <w:spacing w:after="80" w:line="300" w:lineRule="auto"/>
        <w:ind w:left="540" w:hanging="271"/>
      </w:pPr>
      <w:r>
        <w:t>Competitor</w:t>
      </w:r>
    </w:p>
    <w:p>
      <w:pPr>
        <w:keepLines w:val="0"/>
        <w:widowControl w:val="0"/>
        <w:numPr>
          <w:ilvl w:val="0"/>
          <w:numId w:val="10"/>
        </w:numPr>
        <w:spacing w:after="80" w:line="300" w:lineRule="auto"/>
        <w:ind w:left="540" w:hanging="271"/>
      </w:pPr>
      <w:r>
        <w:t>Match, observation, offer, or source</w:t>
      </w:r>
    </w:p>
    <w:p>
      <w:pPr>
        <w:keepLines w:val="0"/>
        <w:widowControl w:val="0"/>
        <w:numPr>
          <w:ilvl w:val="0"/>
          <w:numId w:val="10"/>
        </w:numPr>
        <w:spacing w:after="80" w:line="300" w:lineRule="auto"/>
        <w:ind w:left="540" w:hanging="271"/>
      </w:pPr>
      <w:r>
        <w:t>Related Action and Request</w:t>
      </w:r>
    </w:p>
    <w:p>
      <w:pPr>
        <w:keepLines w:val="0"/>
        <w:widowControl w:val="0"/>
        <w:numPr>
          <w:ilvl w:val="0"/>
          <w:numId w:val="10"/>
        </w:numPr>
        <w:spacing w:after="80" w:line="300" w:lineRule="auto"/>
        <w:ind w:left="540" w:hanging="271"/>
      </w:pPr>
      <w:r>
        <w:t>Note</w:t>
      </w:r>
    </w:p>
    <w:p>
      <w:pPr>
        <w:keepLines w:val="0"/>
        <w:widowControl w:val="0"/>
        <w:numPr>
          <w:ilvl w:val="0"/>
          <w:numId w:val="10"/>
        </w:numPr>
        <w:spacing w:after="80" w:line="300" w:lineRule="auto"/>
        <w:ind w:left="540" w:hanging="271"/>
      </w:pPr>
      <w:r>
        <w:t>Origin and correlation ID</w:t>
      </w:r>
    </w:p>
    <w:p>
      <w:pPr>
        <w:pStyle w:val="Heading2"/>
      </w:pPr>
      <w:r>
        <w:t>8.2 Provenance labels</w:t>
      </w:r>
    </w:p>
    <w:tbl>
      <w:tblPr>
        <w:tblStyle w:val="TableGrid"/>
        <w:tblW w:type="dxa" w:w="9360"/>
        <w:jc w:val="left"/>
        <w:tblLayout w:type="fixed"/>
        <w:tblLook w:firstColumn="1" w:firstRow="1" w:lastColumn="0" w:lastRow="0" w:noHBand="0" w:noVBand="1" w:val="04A0"/>
        <w:tblInd w:w="120" w:type="dxa"/>
      </w:tblPr>
      <w:tblGrid>
        <w:gridCol w:w="2592"/>
        <w:gridCol w:w="6768"/>
      </w:tblGrid>
      <w:tr>
        <w:trPr>
          <w:tblHeader w:val="true"/>
          <w:cantSplit/>
        </w:trPr>
        <w:tc>
          <w:tcPr>
            <w:tcW w:type="dxa" w:w="2592"/>
            <w:shd w:fill="E8EEF5"/>
            <w:tcMar>
              <w:top w:w="80" w:type="dxa"/>
              <w:start w:w="120" w:type="dxa"/>
              <w:bottom w:w="80" w:type="dxa"/>
              <w:end w:w="120" w:type="dxa"/>
            </w:tcMar>
          </w:tcPr>
          <w:p>
            <w:r>
              <w:rPr>
                <w:rFonts w:ascii="Calibri" w:hAnsi="Calibri"/>
                <w:b/>
                <w:color w:val="1F4D78"/>
              </w:rPr>
              <w:t>Label</w:t>
            </w:r>
          </w:p>
        </w:tc>
        <w:tc>
          <w:tcPr>
            <w:tcW w:type="dxa" w:w="6768"/>
            <w:shd w:fill="E8EEF5"/>
            <w:tcMar>
              <w:top w:w="80" w:type="dxa"/>
              <w:start w:w="120" w:type="dxa"/>
              <w:bottom w:w="80" w:type="dxa"/>
              <w:end w:w="120" w:type="dxa"/>
            </w:tcMar>
          </w:tcPr>
          <w:p>
            <w:r>
              <w:rPr>
                <w:rFonts w:ascii="Calibri" w:hAnsi="Calibri"/>
                <w:b/>
                <w:color w:val="1F4D78"/>
              </w:rPr>
              <w:t>Definition</w:t>
            </w:r>
          </w:p>
        </w:tc>
      </w:tr>
      <w:tr>
        <w:trPr>
          <w:cantSplit/>
        </w:trPr>
        <w:tc>
          <w:tcPr>
            <w:tcW w:type="dxa" w:w="2592"/>
            <w:vAlign w:val="top"/>
            <w:tcMar>
              <w:top w:w="80" w:type="dxa"/>
              <w:start w:w="120" w:type="dxa"/>
              <w:bottom w:w="80" w:type="dxa"/>
              <w:end w:w="120" w:type="dxa"/>
            </w:tcMar>
          </w:tcPr>
          <w:p>
            <w:r>
              <w:t>Automatically observed</w:t>
            </w:r>
          </w:p>
        </w:tc>
        <w:tc>
          <w:tcPr>
            <w:tcW w:type="dxa" w:w="6768"/>
            <w:vAlign w:val="top"/>
            <w:tcMar>
              <w:top w:w="80" w:type="dxa"/>
              <w:start w:w="120" w:type="dxa"/>
              <w:bottom w:w="80" w:type="dxa"/>
              <w:end w:w="120" w:type="dxa"/>
            </w:tcMar>
          </w:tcPr>
          <w:p>
            <w:r>
              <w:t>Collected by an approved automated run from the cited source.</w:t>
            </w:r>
          </w:p>
        </w:tc>
      </w:tr>
      <w:tr>
        <w:trPr>
          <w:cantSplit/>
        </w:trPr>
        <w:tc>
          <w:tcPr>
            <w:tcW w:type="dxa" w:w="2592"/>
            <w:vAlign w:val="top"/>
            <w:tcMar>
              <w:top w:w="80" w:type="dxa"/>
              <w:start w:w="120" w:type="dxa"/>
              <w:bottom w:w="80" w:type="dxa"/>
              <w:end w:w="120" w:type="dxa"/>
            </w:tcMar>
          </w:tcPr>
          <w:p>
            <w:r>
              <w:t>Human-confirmed</w:t>
            </w:r>
          </w:p>
        </w:tc>
        <w:tc>
          <w:tcPr>
            <w:tcW w:type="dxa" w:w="6768"/>
            <w:vAlign w:val="top"/>
            <w:tcMar>
              <w:top w:w="80" w:type="dxa"/>
              <w:start w:w="120" w:type="dxa"/>
              <w:bottom w:w="80" w:type="dxa"/>
              <w:end w:w="120" w:type="dxa"/>
            </w:tcMar>
          </w:tcPr>
          <w:p>
            <w:r>
              <w:t>A person reviewed evidence and confirmed an automated or proposed value.</w:t>
            </w:r>
          </w:p>
        </w:tc>
      </w:tr>
      <w:tr>
        <w:trPr>
          <w:cantSplit/>
        </w:trPr>
        <w:tc>
          <w:tcPr>
            <w:tcW w:type="dxa" w:w="2592"/>
            <w:vAlign w:val="top"/>
            <w:tcMar>
              <w:top w:w="80" w:type="dxa"/>
              <w:start w:w="120" w:type="dxa"/>
              <w:bottom w:w="80" w:type="dxa"/>
              <w:end w:w="120" w:type="dxa"/>
            </w:tcMar>
          </w:tcPr>
          <w:p>
            <w:r>
              <w:t>Manually entered</w:t>
            </w:r>
          </w:p>
        </w:tc>
        <w:tc>
          <w:tcPr>
            <w:tcW w:type="dxa" w:w="6768"/>
            <w:vAlign w:val="top"/>
            <w:tcMar>
              <w:top w:w="80" w:type="dxa"/>
              <w:start w:w="120" w:type="dxa"/>
              <w:bottom w:w="80" w:type="dxa"/>
              <w:end w:w="120" w:type="dxa"/>
            </w:tcMar>
          </w:tcPr>
          <w:p>
            <w:r>
              <w:t>A person entered the value directly; actor, note, and observation date are required.</w:t>
            </w:r>
          </w:p>
        </w:tc>
      </w:tr>
      <w:tr>
        <w:trPr>
          <w:cantSplit/>
        </w:trPr>
        <w:tc>
          <w:tcPr>
            <w:tcW w:type="dxa" w:w="2592"/>
            <w:vAlign w:val="top"/>
            <w:tcMar>
              <w:top w:w="80" w:type="dxa"/>
              <w:start w:w="120" w:type="dxa"/>
              <w:bottom w:w="80" w:type="dxa"/>
              <w:end w:w="120" w:type="dxa"/>
            </w:tcMar>
          </w:tcPr>
          <w:p>
            <w:r>
              <w:t>Approved feed/API</w:t>
            </w:r>
          </w:p>
        </w:tc>
        <w:tc>
          <w:tcPr>
            <w:tcW w:type="dxa" w:w="6768"/>
            <w:vAlign w:val="top"/>
            <w:tcMar>
              <w:top w:w="80" w:type="dxa"/>
              <w:start w:w="120" w:type="dxa"/>
              <w:bottom w:w="80" w:type="dxa"/>
              <w:end w:w="120" w:type="dxa"/>
            </w:tcMar>
          </w:tcPr>
          <w:p>
            <w:r>
              <w:t>Received from an administratively approved external integration.</w:t>
            </w:r>
          </w:p>
        </w:tc>
      </w:tr>
    </w:tbl>
    <w:p>
      <w:pPr>
        <w:spacing w:after="0"/>
      </w:pPr>
    </w:p>
    <w:p>
      <w:pPr>
        <w:keepLines w:val="0"/>
        <w:widowControl w:val="0"/>
        <w:numPr>
          <w:ilvl w:val="0"/>
          <w:numId w:val="10"/>
        </w:numPr>
        <w:spacing w:after="80" w:line="300" w:lineRule="auto"/>
        <w:ind w:left="540" w:hanging="271"/>
      </w:pPr>
      <w:r>
        <w:t>Corrections must not erase previous observations. A correction creates a new version or observation and preserves the superseded record.</w:t>
      </w:r>
    </w:p>
    <w:p>
      <w:pPr>
        <w:keepLines w:val="0"/>
        <w:widowControl w:val="0"/>
        <w:numPr>
          <w:ilvl w:val="0"/>
          <w:numId w:val="10"/>
        </w:numPr>
        <w:spacing w:after="80" w:line="300" w:lineRule="auto"/>
        <w:ind w:left="540" w:hanging="271"/>
      </w:pPr>
      <w:r>
        <w:t>Audit events are append-only and cannot be edited through ordinary application workflows.</w:t>
      </w:r>
    </w:p>
    <w:p>
      <w:pPr>
        <w:pStyle w:val="Heading1"/>
      </w:pPr>
      <w:r>
        <w:t>9. Persistence and Architecture Additions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80" w:type="dxa"/>
              <w:start w:w="120" w:type="dxa"/>
              <w:bottom w:w="80" w:type="dxa"/>
              <w:end w:w="120" w:type="dxa"/>
            </w:tcMar>
          </w:tcPr>
          <w:p>
            <w:r>
              <w:rPr>
                <w:rFonts w:ascii="Calibri" w:hAnsi="Calibri"/>
                <w:b/>
                <w:color w:val="1F4D78"/>
              </w:rPr>
              <w:t>Hosted persistence requirement</w:t>
            </w:r>
          </w:p>
        </w:tc>
      </w:tr>
      <w:tr>
        <w:trPr>
          <w:cantSplit/>
        </w:trPr>
        <w:tc>
          <w:tcPr>
            <w:tcW w:type="dxa" w:w="9360"/>
            <w:vAlign w:val="top"/>
            <w:tcMar>
              <w:top w:w="80" w:type="dxa"/>
              <w:start w:w="120" w:type="dxa"/>
              <w:bottom w:w="80" w:type="dxa"/>
              <w:end w:w="120" w:type="dxa"/>
            </w:tcMar>
            <w:shd w:fill="F4F6F9"/>
          </w:tcPr>
          <w:p>
            <w:r>
              <w:t>Operational data must survive application restarts, serverless instance recycling, and redeployment. Deploy-time snapshots and instance-local files must not be used as the system of record.</w:t>
            </w:r>
          </w:p>
        </w:tc>
      </w:tr>
    </w:tbl>
    <w:p>
      <w:pPr>
        <w:spacing w:after="0"/>
      </w:pPr>
    </w:p>
    <w:p>
      <w:pPr>
        <w:pStyle w:val="Heading2"/>
      </w:pPr>
      <w:r>
        <w:t>9.1 Required durable records</w:t>
      </w:r>
    </w:p>
    <w:p>
      <w:pPr>
        <w:keepLines w:val="0"/>
        <w:widowControl w:val="0"/>
        <w:numPr>
          <w:ilvl w:val="0"/>
          <w:numId w:val="10"/>
        </w:numPr>
        <w:spacing w:after="80" w:line="300" w:lineRule="auto"/>
        <w:ind w:left="540" w:hanging="271"/>
      </w:pPr>
      <w:r>
        <w:t>Users, roles, and authentication/account state</w:t>
      </w:r>
    </w:p>
    <w:p>
      <w:pPr>
        <w:keepLines w:val="0"/>
        <w:widowControl w:val="0"/>
        <w:numPr>
          <w:ilvl w:val="0"/>
          <w:numId w:val="10"/>
        </w:numPr>
        <w:spacing w:after="80" w:line="300" w:lineRule="auto"/>
        <w:ind w:left="540" w:hanging="271"/>
      </w:pPr>
      <w:r>
        <w:t>Competitor matches, match resolutions, and versions</w:t>
      </w:r>
    </w:p>
    <w:p>
      <w:pPr>
        <w:keepLines w:val="0"/>
        <w:widowControl w:val="0"/>
        <w:numPr>
          <w:ilvl w:val="0"/>
          <w:numId w:val="10"/>
        </w:numPr>
        <w:spacing w:after="80" w:line="300" w:lineRule="auto"/>
        <w:ind w:left="540" w:hanging="271"/>
      </w:pPr>
      <w:r>
        <w:t>Competitor products and sources</w:t>
      </w:r>
    </w:p>
    <w:p>
      <w:pPr>
        <w:keepLines w:val="0"/>
        <w:widowControl w:val="0"/>
        <w:numPr>
          <w:ilvl w:val="0"/>
          <w:numId w:val="10"/>
        </w:numPr>
        <w:spacing w:after="80" w:line="300" w:lineRule="auto"/>
        <w:ind w:left="540" w:hanging="271"/>
      </w:pPr>
      <w:r>
        <w:t>Price, availability, and offer observations</w:t>
      </w:r>
    </w:p>
    <w:p>
      <w:pPr>
        <w:keepLines w:val="0"/>
        <w:widowControl w:val="0"/>
        <w:numPr>
          <w:ilvl w:val="0"/>
          <w:numId w:val="10"/>
        </w:numPr>
        <w:spacing w:after="80" w:line="300" w:lineRule="auto"/>
        <w:ind w:left="540" w:hanging="271"/>
      </w:pPr>
      <w:r>
        <w:t>Approved feeds/APIs</w:t>
      </w:r>
    </w:p>
    <w:p>
      <w:pPr>
        <w:keepLines w:val="0"/>
        <w:widowControl w:val="0"/>
        <w:numPr>
          <w:ilvl w:val="0"/>
          <w:numId w:val="10"/>
        </w:numPr>
        <w:spacing w:after="80" w:line="300" w:lineRule="auto"/>
        <w:ind w:left="540" w:hanging="271"/>
      </w:pPr>
      <w:r>
        <w:t>Actions and Action activity</w:t>
      </w:r>
    </w:p>
    <w:p>
      <w:pPr>
        <w:keepLines w:val="0"/>
        <w:widowControl w:val="0"/>
        <w:numPr>
          <w:ilvl w:val="0"/>
          <w:numId w:val="10"/>
        </w:numPr>
        <w:spacing w:after="80" w:line="300" w:lineRule="auto"/>
        <w:ind w:left="540" w:hanging="271"/>
      </w:pPr>
      <w:r>
        <w:t>Requests, responses, and status history</w:t>
      </w:r>
    </w:p>
    <w:p>
      <w:pPr>
        <w:keepLines w:val="0"/>
        <w:widowControl w:val="0"/>
        <w:numPr>
          <w:ilvl w:val="0"/>
          <w:numId w:val="10"/>
        </w:numPr>
        <w:spacing w:after="80" w:line="300" w:lineRule="auto"/>
        <w:ind w:left="540" w:hanging="271"/>
      </w:pPr>
      <w:r>
        <w:t>Agent conversations and record citations</w:t>
      </w:r>
    </w:p>
    <w:p>
      <w:pPr>
        <w:keepLines w:val="0"/>
        <w:widowControl w:val="0"/>
        <w:numPr>
          <w:ilvl w:val="0"/>
          <w:numId w:val="10"/>
        </w:numPr>
        <w:spacing w:after="80" w:line="300" w:lineRule="auto"/>
        <w:ind w:left="540" w:hanging="271"/>
      </w:pPr>
      <w:r>
        <w:t>Immutable audit events</w:t>
      </w:r>
    </w:p>
    <w:p>
      <w:pPr>
        <w:pStyle w:val="Heading2"/>
      </w:pPr>
      <w:r>
        <w:t>9.2 Architecture requirements</w:t>
      </w:r>
    </w:p>
    <w:p>
      <w:pPr>
        <w:keepLines w:val="0"/>
        <w:widowControl w:val="0"/>
        <w:numPr>
          <w:ilvl w:val="0"/>
          <w:numId w:val="10"/>
        </w:numPr>
        <w:spacing w:after="80" w:line="300" w:lineRule="auto"/>
        <w:ind w:left="540" w:hanging="271"/>
      </w:pPr>
      <w:r>
        <w:t>Use a managed relational database; PostgreSQL is the recommended production default.</w:t>
      </w:r>
    </w:p>
    <w:p>
      <w:pPr>
        <w:keepLines w:val="0"/>
        <w:widowControl w:val="0"/>
        <w:numPr>
          <w:ilvl w:val="0"/>
          <w:numId w:val="10"/>
        </w:numPr>
        <w:spacing w:after="80" w:line="300" w:lineRule="auto"/>
        <w:ind w:left="540" w:hanging="271"/>
      </w:pPr>
      <w:r>
        <w:t>Use stable IDs and foreign-key relationships for all linked domain records.</w:t>
      </w:r>
    </w:p>
    <w:p>
      <w:pPr>
        <w:keepLines w:val="0"/>
        <w:widowControl w:val="0"/>
        <w:numPr>
          <w:ilvl w:val="0"/>
          <w:numId w:val="10"/>
        </w:numPr>
        <w:spacing w:after="80" w:line="300" w:lineRule="auto"/>
        <w:ind w:left="540" w:hanging="271"/>
      </w:pPr>
      <w:r>
        <w:t>Use transactions for resolution, status, and audit writes.</w:t>
      </w:r>
    </w:p>
    <w:p>
      <w:pPr>
        <w:keepLines w:val="0"/>
        <w:widowControl w:val="0"/>
        <w:numPr>
          <w:ilvl w:val="0"/>
          <w:numId w:val="10"/>
        </w:numPr>
        <w:spacing w:after="80" w:line="300" w:lineRule="auto"/>
        <w:ind w:left="540" w:hanging="271"/>
      </w:pPr>
      <w:r>
        <w:t>Maintain versioned database migrations, backups, and a defined retention policy.</w:t>
      </w:r>
    </w:p>
    <w:p>
      <w:pPr>
        <w:keepLines w:val="0"/>
        <w:widowControl w:val="0"/>
        <w:numPr>
          <w:ilvl w:val="0"/>
          <w:numId w:val="10"/>
        </w:numPr>
        <w:spacing w:after="80" w:line="300" w:lineRule="auto"/>
        <w:ind w:left="540" w:hanging="271"/>
      </w:pPr>
      <w:r>
        <w:t>Enforce authorization server-side; hiding controls in the UI is insufficient.</w:t>
      </w:r>
    </w:p>
    <w:p>
      <w:pPr>
        <w:keepLines w:val="0"/>
        <w:widowControl w:val="0"/>
        <w:numPr>
          <w:ilvl w:val="0"/>
          <w:numId w:val="10"/>
        </w:numPr>
        <w:spacing w:after="80" w:line="300" w:lineRule="auto"/>
        <w:ind w:left="540" w:hanging="271"/>
      </w:pPr>
      <w:r>
        <w:t>Use object storage only where attachments or retained evidence require it.</w:t>
      </w:r>
    </w:p>
    <w:p>
      <w:pPr>
        <w:keepLines w:val="0"/>
        <w:widowControl w:val="0"/>
        <w:numPr>
          <w:ilvl w:val="0"/>
          <w:numId w:val="10"/>
        </w:numPr>
        <w:spacing w:after="80" w:line="300" w:lineRule="auto"/>
        <w:ind w:left="540" w:hanging="271"/>
      </w:pPr>
      <w:r>
        <w:t>Use a simple durable database-backed job table for verification work in MVP; a distributed queue is not required.</w:t>
      </w:r>
    </w:p>
    <w:p>
      <w:pPr>
        <w:keepLines w:val="0"/>
        <w:widowControl w:val="0"/>
        <w:numPr>
          <w:ilvl w:val="0"/>
          <w:numId w:val="10"/>
        </w:numPr>
        <w:spacing w:after="80" w:line="300" w:lineRule="auto"/>
        <w:ind w:left="540" w:hanging="271"/>
      </w:pPr>
      <w:r>
        <w:t>Import completed scans into the durable database or write them there directly; redeployment must never reset operational records.</w:t>
      </w:r>
    </w:p>
    <w:p>
      <w:pPr>
        <w:pStyle w:val="Heading1"/>
      </w:pPr>
      <w:r>
        <w:t>10. UI/UX Requirement Additions</w:t>
      </w:r>
    </w:p>
    <w:p>
      <w:pPr>
        <w:keepLines w:val="0"/>
        <w:widowControl w:val="0"/>
        <w:numPr>
          <w:ilvl w:val="0"/>
          <w:numId w:val="10"/>
        </w:numPr>
        <w:spacing w:after="80" w:line="300" w:lineRule="auto"/>
        <w:ind w:left="540" w:hanging="271"/>
      </w:pPr>
      <w:r>
        <w:t>Use a consistent application shell, navigation, page title, and page-level actions.</w:t>
      </w:r>
    </w:p>
    <w:p>
      <w:pPr>
        <w:keepLines w:val="0"/>
        <w:widowControl w:val="0"/>
        <w:numPr>
          <w:ilvl w:val="0"/>
          <w:numId w:val="10"/>
        </w:numPr>
        <w:spacing w:after="80" w:line="300" w:lineRule="auto"/>
        <w:ind w:left="540" w:hanging="271"/>
      </w:pPr>
      <w:r>
        <w:t>Prioritize Needs attention, freshness, and incomplete coverage above descriptive report metrics.</w:t>
      </w:r>
    </w:p>
    <w:p>
      <w:pPr>
        <w:keepLines w:val="0"/>
        <w:widowControl w:val="0"/>
        <w:numPr>
          <w:ilvl w:val="0"/>
          <w:numId w:val="10"/>
        </w:numPr>
        <w:spacing w:after="80" w:line="300" w:lineRule="auto"/>
        <w:ind w:left="540" w:hanging="271"/>
      </w:pPr>
      <w:r>
        <w:t>Replace long mixed reports with searchable list-to-detail workflows.</w:t>
      </w:r>
    </w:p>
    <w:p>
      <w:pPr>
        <w:keepLines w:val="0"/>
        <w:widowControl w:val="0"/>
        <w:numPr>
          <w:ilvl w:val="0"/>
          <w:numId w:val="10"/>
        </w:numPr>
        <w:spacing w:after="80" w:line="300" w:lineRule="auto"/>
        <w:ind w:left="540" w:hanging="271"/>
      </w:pPr>
      <w:r>
        <w:t>Make product, competitor, Action, and Request details routable and bookmarkable.</w:t>
      </w:r>
    </w:p>
    <w:p>
      <w:pPr>
        <w:keepLines w:val="0"/>
        <w:widowControl w:val="0"/>
        <w:numPr>
          <w:ilvl w:val="0"/>
          <w:numId w:val="10"/>
        </w:numPr>
        <w:spacing w:after="80" w:line="300" w:lineRule="auto"/>
        <w:ind w:left="540" w:hanging="271"/>
      </w:pPr>
      <w:r>
        <w:t>Use consistent filters, URL-persisted filter state, sorting, pagination or progressive loading, and useful empty states.</w:t>
      </w:r>
    </w:p>
    <w:p>
      <w:pPr>
        <w:keepLines w:val="0"/>
        <w:widowControl w:val="0"/>
        <w:numPr>
          <w:ilvl w:val="0"/>
          <w:numId w:val="10"/>
        </w:numPr>
        <w:spacing w:after="80" w:line="300" w:lineRule="auto"/>
        <w:ind w:left="540" w:hanging="271"/>
      </w:pPr>
      <w:r>
        <w:t>Display status, confidence, freshness, and provenance consistently across all views.</w:t>
      </w:r>
    </w:p>
    <w:p>
      <w:pPr>
        <w:keepLines w:val="0"/>
        <w:widowControl w:val="0"/>
        <w:numPr>
          <w:ilvl w:val="0"/>
          <w:numId w:val="10"/>
        </w:numPr>
        <w:spacing w:after="80" w:line="300" w:lineRule="auto"/>
        <w:ind w:left="540" w:hanging="271"/>
      </w:pPr>
      <w:r>
        <w:t>Place the next valid action beside each unresolved item.</w:t>
      </w:r>
    </w:p>
    <w:p>
      <w:pPr>
        <w:keepLines w:val="0"/>
        <w:widowControl w:val="0"/>
        <w:numPr>
          <w:ilvl w:val="0"/>
          <w:numId w:val="10"/>
        </w:numPr>
        <w:spacing w:after="80" w:line="300" w:lineRule="auto"/>
        <w:ind w:left="540" w:hanging="271"/>
      </w:pPr>
      <w:r>
        <w:t>Keep evidence and source links adjacent to the value or decision they support.</w:t>
      </w:r>
    </w:p>
    <w:p>
      <w:pPr>
        <w:keepLines w:val="0"/>
        <w:widowControl w:val="0"/>
        <w:numPr>
          <w:ilvl w:val="0"/>
          <w:numId w:val="10"/>
        </w:numPr>
        <w:spacing w:after="80" w:line="300" w:lineRule="auto"/>
        <w:ind w:left="540" w:hanging="271"/>
      </w:pPr>
      <w:r>
        <w:t>Define every summary count and reconcile summary totals with detailed records.</w:t>
      </w:r>
    </w:p>
    <w:p>
      <w:pPr>
        <w:keepLines w:val="0"/>
        <w:widowControl w:val="0"/>
        <w:numPr>
          <w:ilvl w:val="0"/>
          <w:numId w:val="10"/>
        </w:numPr>
        <w:spacing w:after="80" w:line="300" w:lineRule="auto"/>
        <w:ind w:left="540" w:hanging="271"/>
      </w:pPr>
      <w:r>
        <w:t>Preserve all useful existing product, competitor, offer, price, specification, and source information.</w:t>
      </w:r>
    </w:p>
    <w:p>
      <w:pPr>
        <w:keepLines w:val="0"/>
        <w:widowControl w:val="0"/>
        <w:numPr>
          <w:ilvl w:val="0"/>
          <w:numId w:val="10"/>
        </w:numPr>
        <w:spacing w:after="80" w:line="300" w:lineRule="auto"/>
        <w:ind w:left="540" w:hanging="271"/>
      </w:pPr>
      <w:r>
        <w:t>Keep cross-currency observations visible but explicitly non-comparable unless an approved conversion policy is introduced.</w:t>
      </w:r>
    </w:p>
    <w:p>
      <w:pPr>
        <w:keepLines w:val="0"/>
        <w:widowControl w:val="0"/>
        <w:numPr>
          <w:ilvl w:val="0"/>
          <w:numId w:val="10"/>
        </w:numPr>
        <w:spacing w:after="80" w:line="300" w:lineRule="auto"/>
        <w:ind w:left="540" w:hanging="271"/>
      </w:pPr>
      <w:r>
        <w:t>Meet keyboard, focus, contrast, form-label, error-message, and responsive-layout accessibility expectations.</w:t>
      </w:r>
    </w:p>
    <w:p>
      <w:pPr>
        <w:pStyle w:val="Heading1"/>
      </w:pPr>
      <w:r>
        <w:t>11. MVP and Phase 2 Editions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tcMar>
              <w:top w:w="80" w:type="dxa"/>
              <w:start w:w="120" w:type="dxa"/>
              <w:bottom w:w="80" w:type="dxa"/>
              <w:end w:w="120" w:type="dxa"/>
            </w:tcMar>
          </w:tcPr>
          <w:p>
            <w:r>
              <w:rPr>
                <w:rFonts w:ascii="Calibri" w:hAnsi="Calibri"/>
                <w:b/>
                <w:color w:val="1F4D78"/>
              </w:rPr>
              <w:t>MVP additions</w:t>
            </w:r>
          </w:p>
        </w:tc>
        <w:tc>
          <w:tcPr>
            <w:tcW w:type="dxa" w:w="4680"/>
            <w:shd w:fill="E8EEF5"/>
            <w:tcMar>
              <w:top w:w="80" w:type="dxa"/>
              <w:start w:w="120" w:type="dxa"/>
              <w:bottom w:w="80" w:type="dxa"/>
              <w:end w:w="120" w:type="dxa"/>
            </w:tcMar>
          </w:tcPr>
          <w:p>
            <w:r>
              <w:rPr>
                <w:rFonts w:ascii="Calibri" w:hAnsi="Calibri"/>
                <w:b/>
                <w:color w:val="1F4D78"/>
              </w:rPr>
              <w:t>Phase 2 additions</w:t>
            </w:r>
          </w:p>
        </w:tc>
      </w:tr>
      <w:tr>
        <w:trPr>
          <w:cantSplit/>
        </w:trPr>
        <w:tc>
          <w:tcPr>
            <w:tcW w:type="dxa" w:w="4680"/>
            <w:vAlign w:val="top"/>
            <w:tcMar>
              <w:top w:w="80" w:type="dxa"/>
              <w:start w:w="120" w:type="dxa"/>
              <w:bottom w:w="80" w:type="dxa"/>
              <w:end w:w="120" w:type="dxa"/>
            </w:tcMar>
          </w:tcPr>
          <w:p>
            <w:r>
              <w:t>Five-tab navigation and operational Overview</w:t>
            </w:r>
          </w:p>
        </w:tc>
        <w:tc>
          <w:tcPr>
            <w:tcW w:type="dxa" w:w="4680"/>
            <w:vAlign w:val="top"/>
            <w:tcMar>
              <w:top w:w="80" w:type="dxa"/>
              <w:start w:w="120" w:type="dxa"/>
              <w:bottom w:w="80" w:type="dxa"/>
              <w:end w:w="120" w:type="dxa"/>
            </w:tcMar>
          </w:tcPr>
          <w:p>
            <w:r>
              <w:t>Email/Slack notifications and delivery preferences</w:t>
            </w:r>
          </w:p>
        </w:tc>
      </w:tr>
      <w:tr>
        <w:trPr>
          <w:cantSplit/>
        </w:trPr>
        <w:tc>
          <w:tcPr>
            <w:tcW w:type="dxa" w:w="4680"/>
            <w:vAlign w:val="top"/>
            <w:tcMar>
              <w:top w:w="80" w:type="dxa"/>
              <w:start w:w="120" w:type="dxa"/>
              <w:bottom w:w="80" w:type="dxa"/>
              <w:end w:w="120" w:type="dxa"/>
            </w:tcMar>
          </w:tcPr>
          <w:p>
            <w:r>
              <w:t>Product and competitor detail pages</w:t>
            </w:r>
          </w:p>
        </w:tc>
        <w:tc>
          <w:tcPr>
            <w:tcW w:type="dxa" w:w="4680"/>
            <w:vAlign w:val="top"/>
            <w:tcMar>
              <w:top w:w="80" w:type="dxa"/>
              <w:start w:w="120" w:type="dxa"/>
              <w:bottom w:w="80" w:type="dxa"/>
              <w:end w:w="120" w:type="dxa"/>
            </w:tcMar>
          </w:tcPr>
          <w:p>
            <w:r>
              <w:t>Request SLAs, due dates, and escalation policies</w:t>
            </w:r>
          </w:p>
        </w:tc>
      </w:tr>
      <w:tr>
        <w:trPr>
          <w:cantSplit/>
        </w:trPr>
        <w:tc>
          <w:tcPr>
            <w:tcW w:type="dxa" w:w="4680"/>
            <w:vAlign w:val="top"/>
            <w:tcMar>
              <w:top w:w="80" w:type="dxa"/>
              <w:start w:w="120" w:type="dxa"/>
              <w:bottom w:w="80" w:type="dxa"/>
              <w:end w:w="120" w:type="dxa"/>
            </w:tcMar>
          </w:tcPr>
          <w:p>
            <w:r>
              <w:t>Action queue and both inline resolution workflows</w:t>
            </w:r>
          </w:p>
        </w:tc>
        <w:tc>
          <w:tcPr>
            <w:tcW w:type="dxa" w:w="4680"/>
            <w:vAlign w:val="top"/>
            <w:tcMar>
              <w:top w:w="80" w:type="dxa"/>
              <w:start w:w="120" w:type="dxa"/>
              <w:bottom w:w="80" w:type="dxa"/>
              <w:end w:w="120" w:type="dxa"/>
            </w:tcMar>
          </w:tcPr>
          <w:p>
            <w:r>
              <w:t>Attachments and richer retained evidence packages</w:t>
            </w:r>
          </w:p>
        </w:tc>
      </w:tr>
      <w:tr>
        <w:trPr>
          <w:cantSplit/>
        </w:trPr>
        <w:tc>
          <w:tcPr>
            <w:tcW w:type="dxa" w:w="4680"/>
            <w:vAlign w:val="top"/>
            <w:tcMar>
              <w:top w:w="80" w:type="dxa"/>
              <w:start w:w="120" w:type="dxa"/>
              <w:bottom w:w="80" w:type="dxa"/>
              <w:end w:w="120" w:type="dxa"/>
            </w:tcMar>
          </w:tcPr>
          <w:p>
            <w:r>
              <w:t>Send Request and five-status management</w:t>
            </w:r>
          </w:p>
        </w:tc>
        <w:tc>
          <w:tcPr>
            <w:tcW w:type="dxa" w:w="4680"/>
            <w:vAlign w:val="top"/>
            <w:tcMar>
              <w:top w:w="80" w:type="dxa"/>
              <w:start w:w="120" w:type="dxa"/>
              <w:bottom w:w="80" w:type="dxa"/>
              <w:end w:w="120" w:type="dxa"/>
            </w:tcMar>
          </w:tcPr>
          <w:p>
            <w:r>
              <w:t>Automated approved-feed/API onboarding</w:t>
            </w:r>
          </w:p>
        </w:tc>
      </w:tr>
      <w:tr>
        <w:trPr>
          <w:cantSplit/>
        </w:trPr>
        <w:tc>
          <w:tcPr>
            <w:tcW w:type="dxa" w:w="4680"/>
            <w:vAlign w:val="top"/>
            <w:tcMar>
              <w:top w:w="80" w:type="dxa"/>
              <w:start w:w="120" w:type="dxa"/>
              <w:bottom w:w="80" w:type="dxa"/>
              <w:end w:w="120" w:type="dxa"/>
            </w:tcMar>
          </w:tcPr>
          <w:p>
            <w:r>
              <w:t>Basic User/Admin authorization</w:t>
            </w:r>
          </w:p>
        </w:tc>
        <w:tc>
          <w:tcPr>
            <w:tcW w:type="dxa" w:w="4680"/>
            <w:vAlign w:val="top"/>
            <w:tcMar>
              <w:top w:w="80" w:type="dxa"/>
              <w:start w:w="120" w:type="dxa"/>
              <w:bottom w:w="80" w:type="dxa"/>
              <w:end w:w="120" w:type="dxa"/>
            </w:tcMar>
          </w:tcPr>
          <w:p>
            <w:r>
              <w:t>Agent-initiated verification jobs with human approval</w:t>
            </w:r>
          </w:p>
        </w:tc>
      </w:tr>
      <w:tr>
        <w:trPr>
          <w:cantSplit/>
        </w:trPr>
        <w:tc>
          <w:tcPr>
            <w:tcW w:type="dxa" w:w="4680"/>
            <w:vAlign w:val="top"/>
            <w:tcMar>
              <w:top w:w="80" w:type="dxa"/>
              <w:start w:w="120" w:type="dxa"/>
              <w:bottom w:w="80" w:type="dxa"/>
              <w:end w:w="120" w:type="dxa"/>
            </w:tcMar>
          </w:tcPr>
          <w:p>
            <w:r>
              <w:t>Read-only, data-grounded intelligence Agent</w:t>
            </w:r>
          </w:p>
        </w:tc>
        <w:tc>
          <w:tcPr>
            <w:tcW w:type="dxa" w:w="4680"/>
            <w:vAlign w:val="top"/>
            <w:tcMar>
              <w:top w:w="80" w:type="dxa"/>
              <w:start w:w="120" w:type="dxa"/>
              <w:bottom w:w="80" w:type="dxa"/>
              <w:end w:w="120" w:type="dxa"/>
            </w:tcMar>
          </w:tcPr>
          <w:p>
            <w:r>
              <w:t>Advanced anomalies and change explanations</w:t>
            </w:r>
          </w:p>
        </w:tc>
      </w:tr>
      <w:tr>
        <w:trPr>
          <w:cantSplit/>
        </w:trPr>
        <w:tc>
          <w:tcPr>
            <w:tcW w:type="dxa" w:w="4680"/>
            <w:vAlign w:val="top"/>
            <w:tcMar>
              <w:top w:w="80" w:type="dxa"/>
              <w:start w:w="120" w:type="dxa"/>
              <w:bottom w:w="80" w:type="dxa"/>
              <w:end w:w="120" w:type="dxa"/>
            </w:tcMar>
          </w:tcPr>
          <w:p>
            <w:r>
              <w:t>Agent-to-Request escalation</w:t>
            </w:r>
          </w:p>
        </w:tc>
        <w:tc>
          <w:tcPr>
            <w:tcW w:type="dxa" w:w="4680"/>
            <w:vAlign w:val="top"/>
            <w:tcMar>
              <w:top w:w="80" w:type="dxa"/>
              <w:start w:w="120" w:type="dxa"/>
              <w:bottom w:w="80" w:type="dxa"/>
              <w:end w:w="120" w:type="dxa"/>
            </w:tcMar>
          </w:tcPr>
          <w:p>
            <w:r>
              <w:t>Bulk Action resolution and saved personal views</w:t>
            </w:r>
          </w:p>
        </w:tc>
      </w:tr>
      <w:tr>
        <w:trPr>
          <w:cantSplit/>
        </w:trPr>
        <w:tc>
          <w:tcPr>
            <w:tcW w:type="dxa" w:w="4680"/>
            <w:vAlign w:val="top"/>
            <w:tcMar>
              <w:top w:w="80" w:type="dxa"/>
              <w:start w:w="120" w:type="dxa"/>
              <w:bottom w:w="80" w:type="dxa"/>
              <w:end w:w="120" w:type="dxa"/>
            </w:tcMar>
          </w:tcPr>
          <w:p>
            <w:r>
              <w:t>Persistent relational storage</w:t>
            </w:r>
          </w:p>
        </w:tc>
        <w:tc>
          <w:tcPr>
            <w:tcW w:type="dxa" w:w="4680"/>
            <w:vAlign w:val="top"/>
            <w:tcMar>
              <w:top w:w="80" w:type="dxa"/>
              <w:start w:w="120" w:type="dxa"/>
              <w:bottom w:w="80" w:type="dxa"/>
              <w:end w:w="120" w:type="dxa"/>
            </w:tcMar>
          </w:tcPr>
          <w:p>
            <w:r>
              <w:t>SSO, expanded roles, and retention administration</w:t>
            </w:r>
          </w:p>
        </w:tc>
      </w:tr>
      <w:tr>
        <w:trPr>
          <w:cantSplit/>
        </w:trPr>
        <w:tc>
          <w:tcPr>
            <w:tcW w:type="dxa" w:w="4680"/>
            <w:vAlign w:val="top"/>
            <w:tcMar>
              <w:top w:w="80" w:type="dxa"/>
              <w:start w:w="120" w:type="dxa"/>
              <w:bottom w:w="80" w:type="dxa"/>
              <w:end w:w="120" w:type="dxa"/>
            </w:tcMar>
          </w:tcPr>
          <w:p>
            <w:r>
              <w:t>Audit history and provenance labels</w:t>
            </w:r>
          </w:p>
        </w:tc>
        <w:tc>
          <w:tcPr>
            <w:tcW w:type="dxa" w:w="4680"/>
            <w:vAlign w:val="top"/>
            <w:tcMar>
              <w:top w:w="80" w:type="dxa"/>
              <w:start w:w="120" w:type="dxa"/>
              <w:bottom w:w="80" w:type="dxa"/>
              <w:end w:w="120" w:type="dxa"/>
            </w:tcMar>
          </w:tcPr>
          <w:p>
            <w:r>
              <w:t>Optional separate Market Trends module</w:t>
            </w:r>
          </w:p>
        </w:tc>
      </w:tr>
      <w:tr>
        <w:trPr>
          <w:cantSplit/>
        </w:trPr>
        <w:tc>
          <w:tcPr>
            <w:tcW w:type="dxa" w:w="4680"/>
            <w:vAlign w:val="top"/>
            <w:tcMar>
              <w:top w:w="80" w:type="dxa"/>
              <w:start w:w="120" w:type="dxa"/>
              <w:bottom w:w="80" w:type="dxa"/>
              <w:end w:w="120" w:type="dxa"/>
            </w:tcMar>
          </w:tcPr>
          <w:p>
            <w:r>
              <w:t>Search, filters, attention, and freshness states</w:t>
            </w:r>
          </w:p>
        </w:tc>
        <w:tc>
          <w:tcPr>
            <w:tcW w:type="dxa" w:w="4680"/>
            <w:vAlign w:val="top"/>
            <w:tcMar>
              <w:top w:w="80" w:type="dxa"/>
              <w:start w:w="120" w:type="dxa"/>
              <w:bottom w:w="80" w:type="dxa"/>
              <w:end w:w="120" w:type="dxa"/>
            </w:tcMar>
          </w:tcPr>
          <w:p>
            <w:r>
              <w:t>Distributed workers only if measured demand requires them</w:t>
            </w:r>
          </w:p>
        </w:tc>
      </w:tr>
    </w:tbl>
    <w:p>
      <w:pPr>
        <w:spacing w:after="0"/>
      </w:pPr>
    </w:p>
    <w:p>
      <w:pPr>
        <w:pStyle w:val="Heading1"/>
      </w:pPr>
      <w:r>
        <w:t>12. Added Acceptance Criteria</w:t>
      </w:r>
    </w:p>
    <w:p>
      <w:pPr>
        <w:keepLines w:val="0"/>
        <w:widowControl w:val="0"/>
        <w:numPr>
          <w:ilvl w:val="0"/>
          <w:numId w:val="10"/>
        </w:numPr>
        <w:spacing w:after="80" w:line="300" w:lineRule="auto"/>
        <w:ind w:left="540" w:hanging="271"/>
      </w:pPr>
      <w:r>
        <w:t>A user can resolve each supported ambiguous-match Action without leaving the application.</w:t>
      </w:r>
    </w:p>
    <w:p>
      <w:pPr>
        <w:keepLines w:val="0"/>
        <w:widowControl w:val="0"/>
        <w:numPr>
          <w:ilvl w:val="0"/>
          <w:numId w:val="10"/>
        </w:numPr>
        <w:spacing w:after="80" w:line="300" w:lineRule="auto"/>
        <w:ind w:left="540" w:hanging="271"/>
      </w:pPr>
      <w:r>
        <w:t>A user can resolve or progress each unreadable-source Action using an alternative source, new URL, verification request, manual observation, or approved feed/API.</w:t>
      </w:r>
    </w:p>
    <w:p>
      <w:pPr>
        <w:keepLines w:val="0"/>
        <w:widowControl w:val="0"/>
        <w:numPr>
          <w:ilvl w:val="0"/>
          <w:numId w:val="10"/>
        </w:numPr>
        <w:spacing w:after="80" w:line="300" w:lineRule="auto"/>
        <w:ind w:left="540" w:hanging="271"/>
      </w:pPr>
      <w:r>
        <w:t>Every saved resolution produces one consistent domain update, Action transition, and audit event.</w:t>
      </w:r>
    </w:p>
    <w:p>
      <w:pPr>
        <w:keepLines w:val="0"/>
        <w:widowControl w:val="0"/>
        <w:numPr>
          <w:ilvl w:val="0"/>
          <w:numId w:val="10"/>
        </w:numPr>
        <w:spacing w:after="80" w:line="300" w:lineRule="auto"/>
        <w:ind w:left="540" w:hanging="271"/>
      </w:pPr>
      <w:r>
        <w:t>Send Request opened from a supported record contains the correct record context without re-entry.</w:t>
      </w:r>
    </w:p>
    <w:p>
      <w:pPr>
        <w:keepLines w:val="0"/>
        <w:widowControl w:val="0"/>
        <w:numPr>
          <w:ilvl w:val="0"/>
          <w:numId w:val="10"/>
        </w:numPr>
        <w:spacing w:after="80" w:line="300" w:lineRule="auto"/>
        <w:ind w:left="540" w:hanging="271"/>
      </w:pPr>
      <w:r>
        <w:t>Users can view their Requests and admins can manage all five statuses and responses.</w:t>
      </w:r>
    </w:p>
    <w:p>
      <w:pPr>
        <w:keepLines w:val="0"/>
        <w:widowControl w:val="0"/>
        <w:numPr>
          <w:ilvl w:val="0"/>
          <w:numId w:val="10"/>
        </w:numPr>
        <w:spacing w:after="80" w:line="300" w:lineRule="auto"/>
        <w:ind w:left="540" w:hanging="271"/>
      </w:pPr>
      <w:r>
        <w:t>An Agent conversation can be escalated into a Request with its summary, citations, and missing-evidence explanation.</w:t>
      </w:r>
    </w:p>
    <w:p>
      <w:pPr>
        <w:keepLines w:val="0"/>
        <w:widowControl w:val="0"/>
        <w:numPr>
          <w:ilvl w:val="0"/>
          <w:numId w:val="10"/>
        </w:numPr>
        <w:spacing w:after="80" w:line="300" w:lineRule="auto"/>
        <w:ind w:left="540" w:hanging="271"/>
      </w:pPr>
      <w:r>
        <w:t>Agent answers contain no marketing, campaign, advertising, SEO, social-media, copywriting, or customer-acquisition behavior.</w:t>
      </w:r>
    </w:p>
    <w:p>
      <w:pPr>
        <w:keepLines w:val="0"/>
        <w:widowControl w:val="0"/>
        <w:numPr>
          <w:ilvl w:val="0"/>
          <w:numId w:val="10"/>
        </w:numPr>
        <w:spacing w:after="80" w:line="300" w:lineRule="auto"/>
        <w:ind w:left="540" w:hanging="271"/>
      </w:pPr>
      <w:r>
        <w:t>Every manually changed intelligence value shows actor, time, before, after, note, and provenance.</w:t>
      </w:r>
    </w:p>
    <w:p>
      <w:pPr>
        <w:keepLines w:val="0"/>
        <w:widowControl w:val="0"/>
        <w:numPr>
          <w:ilvl w:val="0"/>
          <w:numId w:val="10"/>
        </w:numPr>
        <w:spacing w:after="80" w:line="300" w:lineRule="auto"/>
        <w:ind w:left="540" w:hanging="271"/>
      </w:pPr>
      <w:r>
        <w:t>Operational records remain unchanged and available after an application restart and a deployment.</w:t>
      </w:r>
    </w:p>
    <w:p>
      <w:pPr>
        <w:keepLines w:val="0"/>
        <w:widowControl w:val="0"/>
        <w:numPr>
          <w:ilvl w:val="0"/>
          <w:numId w:val="10"/>
        </w:numPr>
        <w:spacing w:after="80" w:line="300" w:lineRule="auto"/>
        <w:ind w:left="540" w:hanging="271"/>
      </w:pPr>
      <w:r>
        <w:t>Summary counts reconcile with their detailed records and clearly distinguish unique offers from product-level associations.</w:t>
      </w:r>
    </w:p>
    <w:p>
      <w:pPr>
        <w:keepLines w:val="0"/>
        <w:widowControl w:val="0"/>
        <w:numPr>
          <w:ilvl w:val="0"/>
          <w:numId w:val="10"/>
        </w:numPr>
        <w:spacing w:after="80" w:line="300" w:lineRule="auto"/>
        <w:ind w:left="540" w:hanging="271"/>
      </w:pPr>
      <w:r>
        <w:t>Unauthorized users cannot perform administrative source, user, Request, or audit operations through either UI or direct requests.</w:t>
      </w:r>
    </w:p>
    <w:p>
      <w:pPr>
        <w:pStyle w:val="Heading1"/>
      </w:pPr>
      <w:r>
        <w:t>13. Approval Gate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E8EEF5"/>
            <w:tcMar>
              <w:top w:w="80" w:type="dxa"/>
              <w:start w:w="120" w:type="dxa"/>
              <w:bottom w:w="80" w:type="dxa"/>
              <w:end w:w="120" w:type="dxa"/>
            </w:tcMar>
          </w:tcPr>
          <w:p>
            <w:r>
              <w:rPr>
                <w:rFonts w:ascii="Calibri" w:hAnsi="Calibri"/>
                <w:b/>
                <w:color w:val="1F4D78"/>
              </w:rPr>
              <w:t>Approval required before implementation</w:t>
            </w:r>
          </w:p>
        </w:tc>
      </w:tr>
      <w:tr>
        <w:trPr>
          <w:cantSplit/>
        </w:trPr>
        <w:tc>
          <w:tcPr>
            <w:tcW w:type="dxa" w:w="9360"/>
            <w:vAlign w:val="top"/>
            <w:tcMar>
              <w:top w:w="80" w:type="dxa"/>
              <w:start w:w="120" w:type="dxa"/>
              <w:bottom w:w="80" w:type="dxa"/>
              <w:end w:w="120" w:type="dxa"/>
            </w:tcMar>
            <w:shd w:fill="F4F6F9"/>
          </w:tcPr>
          <w:p>
            <w:r>
              <w:t>Approve the five-tab navigation, retirement of the current mixed Decisions tab, separation of beauty Trends, MVP boundary, Request workflow, Agent scope, provenance model, and PostgreSQL persistence direction before coding or modifying the baseline requirements.</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E"/>
        <w:sz w:val="17"/>
      </w:rPr>
      <w:t xml:space="preserve">Requirements addendum  |  20 August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36E"/>
        <w:sz w:val="17"/>
      </w:rPr>
      <w:t>CLARA  |  COMPETITOR INTELLIGENCE REQUIREMENTS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pPr>
    </w:lvl>
  </w:abstractNum>
  <w:abstractNum w:abstractNumId="10">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Clara Competitor Intelligence Requirements Addendum</dc:title>
  <dc:subject>Edited and newly added requirements only</dc:subject>
  <dc:creator>Clara Product Requirements</dc:creator>
  <cp:keywords>Clara, competitor intelligence, pricing, actions, requests, audit, persistence</cp:keywords>
  <dc:description>generated by python-docx</dc:description>
  <cp:lastModifiedBy/>
  <cp:revision>1</cp:revision>
  <dcterms:created xsi:type="dcterms:W3CDTF">2013-12-23T23:15:00Z</dcterms:created>
  <dcterms:modified xsi:type="dcterms:W3CDTF">2013-12-23T23:15:00Z</dcterms:modified>
  <cp:category/>
</cp:coreProperties>
</file>