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Odds Ratios, IC 95% y McFadden’s R²</w:t>
      </w:r>
    </w:p>
    <w:tbl>
      <w:tblPr>
        <w:tblStyle w:val="Table"/>
        <w:tblW w:type="pct" w:w="4853"/>
        <w:tblLayout w:type="fixed"/>
        <w:tblLook w:firstRow="1" w:lastRow="1" w:firstColumn="0" w:lastColumn="0" w:noHBand="0" w:noVBand="0" w:val="0020"/>
        <w:tblCaption w:val="Odds Ratios, IC 95% y McFadden’s R²"/>
      </w:tblPr>
      <w:tblGrid>
        <w:gridCol w:w="2950"/>
        <w:gridCol w:w="1164"/>
        <w:gridCol w:w="1164"/>
        <w:gridCol w:w="1164"/>
        <w:gridCol w:w="1242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Acepta el autoritarismo|Indiferente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[0.63, 1.49]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[0.62, 1.20]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[0.21, 1.75]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[0.52, 10.44]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Indiferente|Prefiere democracia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[0.85, 2.00]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[0.84, 1.62]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[0.28, 2.37]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[0.72, 14.56]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cl_index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[0.97, 1.06]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[0.96, 1.06]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[0.98, 1.08]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theta_nps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1.36+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1.39+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1.35+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[0.99, 1.88]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[1.00, 1.94]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[0.97, 1.90]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ideol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[0.81, 1.08]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[0.82, 1.11]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partyidSi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[0.41, 4.73]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[0.59, 7.85]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1.39+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[0.98, 2.01]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sexoFemenino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0.83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[0.42, 1.62]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nedSuperior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2.35*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[1.11, 5.12]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empleo_bin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1.44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[0.74, 2.82]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estratoMedio alto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2.00+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[1.00, 4.06]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276.8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273.6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278.1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276.4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282.6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309.5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1.93</w:t>
            </w:r>
          </w:p>
        </w:tc>
      </w:tr>
      <w:tr>
        <w:tc>
          <w:tcPr>
            <w:gridSpan w:val="5"/>
          </w:tcPr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 &lt; 0.1, * p &lt; 0.05, ** p &lt; 0.01, *** p &lt; 0.001</w:t>
            </w:r>
          </w:p>
        </w:tc>
      </w:tr>
      <w:tr>
        <w:tc>
          <w:tcPr>
            <w:gridSpan w:val="5"/>
          </w:tcPr>
          <w:p>
            <w:pPr>
              <w:pStyle w:val="Compact"/>
              <w:jc w:val="left"/>
            </w:pPr>
            <w:r>
              <w:t xml:space="preserve">IC al 95%; códigos: + p&lt;0.10; * p&lt;0.05; ** p&lt;0.01; *** p&lt;0.001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2025-06-29T07:43:00Z</dcterms:created>
  <dcterms:modified xsi:type="dcterms:W3CDTF">2025-06-29T07:43:00Z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