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9395B" w14:textId="4259B4AB" w:rsidR="00002C39" w:rsidRPr="00C77829" w:rsidRDefault="00002C39">
      <w:pPr>
        <w:spacing w:after="200" w:line="360" w:lineRule="auto"/>
        <w:ind w:left="-360" w:right="-360"/>
        <w:rPr>
          <w:rFonts w:ascii="Google Sans" w:eastAsia="Google Sans" w:hAnsi="Google Sans" w:cs="Google Sans"/>
          <w:sz w:val="24"/>
          <w:szCs w:val="24"/>
        </w:rPr>
      </w:pP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002C39" w:rsidRPr="00C77829" w14:paraId="2594BA97" w14:textId="77777777">
        <w:trPr>
          <w:trHeight w:val="420"/>
        </w:trPr>
        <w:tc>
          <w:tcPr>
            <w:tcW w:w="2055" w:type="dxa"/>
            <w:tcMar>
              <w:top w:w="100" w:type="dxa"/>
              <w:left w:w="100" w:type="dxa"/>
              <w:bottom w:w="100" w:type="dxa"/>
              <w:right w:w="100" w:type="dxa"/>
            </w:tcMar>
          </w:tcPr>
          <w:p w14:paraId="454A1666" w14:textId="77777777" w:rsidR="00002C39" w:rsidRPr="00C77829" w:rsidRDefault="00000000">
            <w:pPr>
              <w:widowControl w:val="0"/>
              <w:spacing w:line="360" w:lineRule="auto"/>
              <w:rPr>
                <w:rFonts w:ascii="Google Sans" w:eastAsia="Google Sans" w:hAnsi="Google Sans" w:cs="Google Sans"/>
              </w:rPr>
            </w:pPr>
            <w:r w:rsidRPr="00C77829">
              <w:rPr>
                <w:rFonts w:ascii="Google Sans" w:eastAsia="Google Sans" w:hAnsi="Google Sans" w:cs="Google Sans"/>
              </w:rPr>
              <w:t>Summary</w:t>
            </w:r>
          </w:p>
        </w:tc>
        <w:tc>
          <w:tcPr>
            <w:tcW w:w="8025" w:type="dxa"/>
            <w:tcMar>
              <w:top w:w="100" w:type="dxa"/>
              <w:left w:w="100" w:type="dxa"/>
              <w:bottom w:w="100" w:type="dxa"/>
              <w:right w:w="100" w:type="dxa"/>
            </w:tcMar>
          </w:tcPr>
          <w:p w14:paraId="464A25B0" w14:textId="019225D7" w:rsidR="00002C39" w:rsidRPr="00C77829" w:rsidRDefault="00C77829">
            <w:pPr>
              <w:widowControl w:val="0"/>
              <w:spacing w:line="360" w:lineRule="auto"/>
              <w:rPr>
                <w:rFonts w:ascii="Google Sans" w:eastAsia="Google Sans" w:hAnsi="Google Sans" w:cs="Google Sans"/>
              </w:rPr>
            </w:pPr>
            <w:r w:rsidRPr="00C77829">
              <w:rPr>
                <w:rFonts w:ascii="Google Sans" w:eastAsia="Google Sans" w:hAnsi="Google Sans" w:cs="Google Sans"/>
              </w:rPr>
              <w:t>The organization faced a security breach when all network connections abruptly failed. The cybersecurity staff determined that a Distributed Denial of Service (DDoS) attack was the cause of the outage, specifically due to a massive influx of Internet Control Message Protocol (ICMP) packets (an ICMP flood). The team mitigated the attack by blocking the malicious traffic and shutting down non-essential network services to prioritize the restoration of critical services.</w:t>
            </w:r>
          </w:p>
        </w:tc>
      </w:tr>
      <w:tr w:rsidR="00002C39" w:rsidRPr="00C77829" w14:paraId="056B2446" w14:textId="77777777">
        <w:trPr>
          <w:trHeight w:val="420"/>
        </w:trPr>
        <w:tc>
          <w:tcPr>
            <w:tcW w:w="2055" w:type="dxa"/>
            <w:tcMar>
              <w:top w:w="100" w:type="dxa"/>
              <w:left w:w="100" w:type="dxa"/>
              <w:bottom w:w="100" w:type="dxa"/>
              <w:right w:w="100" w:type="dxa"/>
            </w:tcMar>
          </w:tcPr>
          <w:p w14:paraId="55C6EAAD" w14:textId="77777777" w:rsidR="00002C39" w:rsidRPr="00C77829" w:rsidRDefault="00000000">
            <w:pPr>
              <w:widowControl w:val="0"/>
              <w:spacing w:line="360" w:lineRule="auto"/>
              <w:rPr>
                <w:rFonts w:ascii="Google Sans" w:eastAsia="Google Sans" w:hAnsi="Google Sans" w:cs="Google Sans"/>
              </w:rPr>
            </w:pPr>
            <w:r w:rsidRPr="00C77829">
              <w:rPr>
                <w:rFonts w:ascii="Google Sans" w:eastAsia="Google Sans" w:hAnsi="Google Sans" w:cs="Google Sans"/>
              </w:rPr>
              <w:t>Identify</w:t>
            </w:r>
          </w:p>
        </w:tc>
        <w:tc>
          <w:tcPr>
            <w:tcW w:w="8025" w:type="dxa"/>
            <w:tcMar>
              <w:top w:w="100" w:type="dxa"/>
              <w:left w:w="100" w:type="dxa"/>
              <w:bottom w:w="100" w:type="dxa"/>
              <w:right w:w="100" w:type="dxa"/>
            </w:tcMar>
          </w:tcPr>
          <w:p w14:paraId="4B25D50D" w14:textId="64FA5137" w:rsidR="00002C39" w:rsidRPr="00C77829" w:rsidRDefault="00C77829">
            <w:pPr>
              <w:widowControl w:val="0"/>
              <w:spacing w:line="360" w:lineRule="auto"/>
              <w:rPr>
                <w:rFonts w:ascii="Google Sans" w:eastAsia="Google Sans" w:hAnsi="Google Sans" w:cs="Google Sans"/>
              </w:rPr>
            </w:pPr>
            <w:r w:rsidRPr="00C77829">
              <w:rPr>
                <w:rFonts w:ascii="Google Sans" w:eastAsia="Google Sans" w:hAnsi="Google Sans" w:cs="Google Sans"/>
              </w:rPr>
              <w:t>A hostile party or parties targeted the company with an ICMP flood. The entire internal network infrastructure was compromised. The immediate priority was to secure and restore all essential network resources to an operational status.</w:t>
            </w:r>
          </w:p>
        </w:tc>
      </w:tr>
      <w:tr w:rsidR="00002C39" w:rsidRPr="00C77829" w14:paraId="6196C658" w14:textId="77777777">
        <w:trPr>
          <w:trHeight w:val="420"/>
        </w:trPr>
        <w:tc>
          <w:tcPr>
            <w:tcW w:w="2055" w:type="dxa"/>
            <w:tcMar>
              <w:top w:w="100" w:type="dxa"/>
              <w:left w:w="100" w:type="dxa"/>
              <w:bottom w:w="100" w:type="dxa"/>
              <w:right w:w="100" w:type="dxa"/>
            </w:tcMar>
          </w:tcPr>
          <w:p w14:paraId="7A5B4F04" w14:textId="77777777" w:rsidR="00002C39" w:rsidRPr="00C77829" w:rsidRDefault="00000000">
            <w:pPr>
              <w:widowControl w:val="0"/>
              <w:spacing w:line="360" w:lineRule="auto"/>
              <w:rPr>
                <w:rFonts w:ascii="Google Sans" w:eastAsia="Google Sans" w:hAnsi="Google Sans" w:cs="Google Sans"/>
              </w:rPr>
            </w:pPr>
            <w:r w:rsidRPr="00C77829">
              <w:rPr>
                <w:rFonts w:ascii="Google Sans" w:eastAsia="Google Sans" w:hAnsi="Google Sans" w:cs="Google Sans"/>
              </w:rPr>
              <w:t>Protect</w:t>
            </w:r>
          </w:p>
        </w:tc>
        <w:tc>
          <w:tcPr>
            <w:tcW w:w="8025" w:type="dxa"/>
            <w:tcMar>
              <w:top w:w="100" w:type="dxa"/>
              <w:left w:w="100" w:type="dxa"/>
              <w:bottom w:w="100" w:type="dxa"/>
              <w:right w:w="100" w:type="dxa"/>
            </w:tcMar>
          </w:tcPr>
          <w:p w14:paraId="1BF3587F" w14:textId="4989B9E2" w:rsidR="00002C39" w:rsidRPr="00C77829" w:rsidRDefault="00C77829">
            <w:pPr>
              <w:widowControl w:val="0"/>
              <w:spacing w:line="360" w:lineRule="auto"/>
              <w:rPr>
                <w:rFonts w:ascii="Google Sans" w:eastAsia="Google Sans" w:hAnsi="Google Sans" w:cs="Google Sans"/>
              </w:rPr>
            </w:pPr>
            <w:r w:rsidRPr="00C77829">
              <w:rPr>
                <w:rFonts w:ascii="Google Sans" w:eastAsia="Google Sans" w:hAnsi="Google Sans" w:cs="Google Sans"/>
              </w:rPr>
              <w:t>To enhance defense against future attacks, the cybersecurity team implemented a new firewall regulation that restricts the speed of incoming ICMP packets. They also deployed an Intrusion Detection/Prevention System (IDS/IPS) designed to filter out ICMP traffic based on any characteristics deemed suspicious.</w:t>
            </w:r>
          </w:p>
        </w:tc>
      </w:tr>
      <w:tr w:rsidR="00002C39" w:rsidRPr="00C77829" w14:paraId="195EB870" w14:textId="77777777">
        <w:trPr>
          <w:trHeight w:val="1061"/>
        </w:trPr>
        <w:tc>
          <w:tcPr>
            <w:tcW w:w="2055" w:type="dxa"/>
            <w:tcMar>
              <w:top w:w="100" w:type="dxa"/>
              <w:left w:w="100" w:type="dxa"/>
              <w:bottom w:w="100" w:type="dxa"/>
              <w:right w:w="100" w:type="dxa"/>
            </w:tcMar>
          </w:tcPr>
          <w:p w14:paraId="7043FF5F" w14:textId="77777777" w:rsidR="00002C39" w:rsidRPr="00C77829" w:rsidRDefault="00000000">
            <w:pPr>
              <w:widowControl w:val="0"/>
              <w:spacing w:line="360" w:lineRule="auto"/>
              <w:rPr>
                <w:rFonts w:ascii="Google Sans" w:eastAsia="Google Sans" w:hAnsi="Google Sans" w:cs="Google Sans"/>
              </w:rPr>
            </w:pPr>
            <w:r w:rsidRPr="00C77829">
              <w:rPr>
                <w:rFonts w:ascii="Google Sans" w:eastAsia="Google Sans" w:hAnsi="Google Sans" w:cs="Google Sans"/>
              </w:rPr>
              <w:t>Detect</w:t>
            </w:r>
          </w:p>
        </w:tc>
        <w:tc>
          <w:tcPr>
            <w:tcW w:w="8025" w:type="dxa"/>
            <w:tcMar>
              <w:top w:w="100" w:type="dxa"/>
              <w:left w:w="100" w:type="dxa"/>
              <w:bottom w:w="100" w:type="dxa"/>
              <w:right w:w="100" w:type="dxa"/>
            </w:tcMar>
          </w:tcPr>
          <w:p w14:paraId="7BA8E4CE" w14:textId="19F0296A" w:rsidR="00002C39" w:rsidRPr="00C77829" w:rsidRDefault="00C77829">
            <w:pPr>
              <w:widowControl w:val="0"/>
              <w:spacing w:line="360" w:lineRule="auto"/>
              <w:rPr>
                <w:rFonts w:ascii="Google Sans" w:eastAsia="Google Sans" w:hAnsi="Google Sans" w:cs="Google Sans"/>
                <w:lang w:val="en-US"/>
              </w:rPr>
            </w:pPr>
            <w:r w:rsidRPr="00C77829">
              <w:rPr>
                <w:rFonts w:ascii="Google Sans" w:eastAsia="Google Sans" w:hAnsi="Google Sans" w:cs="Google Sans"/>
                <w:lang w:val="en-US"/>
              </w:rPr>
              <w:t xml:space="preserve">The team established source IP address verification on the firewall to inspect incoming ICMP packets for </w:t>
            </w:r>
            <w:proofErr w:type="gramStart"/>
            <w:r w:rsidRPr="00C77829">
              <w:rPr>
                <w:rFonts w:ascii="Google Sans" w:eastAsia="Google Sans" w:hAnsi="Google Sans" w:cs="Google Sans"/>
                <w:lang w:val="en-US"/>
              </w:rPr>
              <w:t>signs of spoofing</w:t>
            </w:r>
            <w:proofErr w:type="gramEnd"/>
            <w:r w:rsidRPr="00C77829">
              <w:rPr>
                <w:rFonts w:ascii="Google Sans" w:eastAsia="Google Sans" w:hAnsi="Google Sans" w:cs="Google Sans"/>
                <w:lang w:val="en-US"/>
              </w:rPr>
              <w:t>. Additionally, network monitoring software was put in place to recognize and flag unusual traffic patterns.</w:t>
            </w:r>
          </w:p>
        </w:tc>
      </w:tr>
      <w:tr w:rsidR="00002C39" w:rsidRPr="00C77829" w14:paraId="35E18349" w14:textId="77777777">
        <w:trPr>
          <w:trHeight w:val="420"/>
        </w:trPr>
        <w:tc>
          <w:tcPr>
            <w:tcW w:w="2055" w:type="dxa"/>
            <w:tcMar>
              <w:top w:w="100" w:type="dxa"/>
              <w:left w:w="100" w:type="dxa"/>
              <w:bottom w:w="100" w:type="dxa"/>
              <w:right w:w="100" w:type="dxa"/>
            </w:tcMar>
          </w:tcPr>
          <w:p w14:paraId="61D64F11" w14:textId="77777777" w:rsidR="00002C39" w:rsidRPr="00C77829" w:rsidRDefault="00000000">
            <w:pPr>
              <w:widowControl w:val="0"/>
              <w:spacing w:line="360" w:lineRule="auto"/>
              <w:rPr>
                <w:rFonts w:ascii="Google Sans" w:eastAsia="Google Sans" w:hAnsi="Google Sans" w:cs="Google Sans"/>
              </w:rPr>
            </w:pPr>
            <w:r w:rsidRPr="00C77829">
              <w:rPr>
                <w:rFonts w:ascii="Google Sans" w:eastAsia="Google Sans" w:hAnsi="Google Sans" w:cs="Google Sans"/>
              </w:rPr>
              <w:t>Respond</w:t>
            </w:r>
          </w:p>
        </w:tc>
        <w:tc>
          <w:tcPr>
            <w:tcW w:w="8025" w:type="dxa"/>
            <w:tcMar>
              <w:top w:w="100" w:type="dxa"/>
              <w:left w:w="100" w:type="dxa"/>
              <w:bottom w:w="100" w:type="dxa"/>
              <w:right w:w="100" w:type="dxa"/>
            </w:tcMar>
          </w:tcPr>
          <w:p w14:paraId="75A429B9" w14:textId="7A7C19D7" w:rsidR="00002C39" w:rsidRPr="00C77829" w:rsidRDefault="00C77829">
            <w:pPr>
              <w:widowControl w:val="0"/>
              <w:spacing w:line="360" w:lineRule="auto"/>
              <w:rPr>
                <w:rFonts w:ascii="Google Sans" w:eastAsia="Google Sans" w:hAnsi="Google Sans" w:cs="Google Sans"/>
              </w:rPr>
            </w:pPr>
            <w:r w:rsidRPr="00C77829">
              <w:rPr>
                <w:rFonts w:ascii="Google Sans" w:eastAsia="Google Sans" w:hAnsi="Google Sans" w:cs="Google Sans"/>
              </w:rPr>
              <w:t>For subsequent security events, the cybersecurity team plans to isolate any affected systems quickly to prevent further network disruption. They will then attempt to restore critical systems and services that were impacted. The team will conduct an analysis of network logs to look for any abnormal or suspicious activity. Finally, all incidents will be reported to senior management and, where legally required, to the appropriate legal bodies.</w:t>
            </w:r>
          </w:p>
        </w:tc>
      </w:tr>
      <w:tr w:rsidR="00002C39" w:rsidRPr="00C77829" w14:paraId="683F5C23" w14:textId="77777777">
        <w:trPr>
          <w:trHeight w:val="420"/>
        </w:trPr>
        <w:tc>
          <w:tcPr>
            <w:tcW w:w="2055" w:type="dxa"/>
            <w:tcMar>
              <w:top w:w="100" w:type="dxa"/>
              <w:left w:w="100" w:type="dxa"/>
              <w:bottom w:w="100" w:type="dxa"/>
              <w:right w:w="100" w:type="dxa"/>
            </w:tcMar>
          </w:tcPr>
          <w:p w14:paraId="277662B6" w14:textId="77777777" w:rsidR="00002C39" w:rsidRPr="00C77829" w:rsidRDefault="00000000">
            <w:pPr>
              <w:widowControl w:val="0"/>
              <w:spacing w:line="360" w:lineRule="auto"/>
              <w:rPr>
                <w:rFonts w:ascii="Google Sans" w:eastAsia="Google Sans" w:hAnsi="Google Sans" w:cs="Google Sans"/>
              </w:rPr>
            </w:pPr>
            <w:r w:rsidRPr="00C77829">
              <w:rPr>
                <w:rFonts w:ascii="Google Sans" w:eastAsia="Google Sans" w:hAnsi="Google Sans" w:cs="Google Sans"/>
              </w:rPr>
              <w:t>Recover</w:t>
            </w:r>
          </w:p>
        </w:tc>
        <w:tc>
          <w:tcPr>
            <w:tcW w:w="8025" w:type="dxa"/>
            <w:tcMar>
              <w:top w:w="100" w:type="dxa"/>
              <w:left w:w="100" w:type="dxa"/>
              <w:bottom w:w="100" w:type="dxa"/>
              <w:right w:w="100" w:type="dxa"/>
            </w:tcMar>
          </w:tcPr>
          <w:p w14:paraId="03B595C5" w14:textId="78B53459" w:rsidR="00002C39" w:rsidRPr="00C77829" w:rsidRDefault="00C77829">
            <w:pPr>
              <w:widowControl w:val="0"/>
              <w:spacing w:line="360" w:lineRule="auto"/>
              <w:rPr>
                <w:rFonts w:ascii="Google Sans" w:eastAsia="Google Sans" w:hAnsi="Google Sans" w:cs="Google Sans"/>
              </w:rPr>
            </w:pPr>
            <w:r w:rsidRPr="00C77829">
              <w:rPr>
                <w:rFonts w:ascii="Google Sans" w:eastAsia="Google Sans" w:hAnsi="Google Sans" w:cs="Google Sans"/>
              </w:rPr>
              <w:t xml:space="preserve">The recovery process involves returning network services to their standard, fully functional state following an ICMP flooding DDoS attack. Moving forward, </w:t>
            </w:r>
            <w:r w:rsidRPr="00C77829">
              <w:rPr>
                <w:rFonts w:ascii="Google Sans" w:eastAsia="Google Sans" w:hAnsi="Google Sans" w:cs="Google Sans"/>
              </w:rPr>
              <w:lastRenderedPageBreak/>
              <w:t>steps for recovery include blocking external ICMP flood attacks at the firewall level. Non-critical network services should be stopped to minimize internal network load. Priority will be given to restoring critical network services first. Once the deluge of ICMP packets has naturally expired (timed out), all non-critical network systems and services can be brought back online.</w:t>
            </w:r>
          </w:p>
        </w:tc>
      </w:tr>
    </w:tbl>
    <w:p w14:paraId="61BEA60C" w14:textId="77777777" w:rsidR="00002C39" w:rsidRPr="00C77829" w:rsidRDefault="00002C39">
      <w:pPr>
        <w:spacing w:after="200" w:line="360" w:lineRule="auto"/>
        <w:ind w:left="-360" w:right="-360"/>
        <w:rPr>
          <w:rFonts w:ascii="Google Sans" w:eastAsia="Google Sans" w:hAnsi="Google Sans" w:cs="Google Sans"/>
        </w:rPr>
      </w:pPr>
    </w:p>
    <w:p w14:paraId="69F4F372" w14:textId="4A0713F9" w:rsidR="00002C39" w:rsidRPr="00C77829" w:rsidRDefault="00002C39">
      <w:pPr>
        <w:spacing w:after="200" w:line="360" w:lineRule="auto"/>
        <w:ind w:left="-360" w:right="-360"/>
        <w:rPr>
          <w:rFonts w:ascii="Google Sans" w:eastAsia="Google Sans" w:hAnsi="Google Sans" w:cs="Google Sans"/>
        </w:rPr>
      </w:pPr>
    </w:p>
    <w:p w14:paraId="752C5B7D" w14:textId="77777777" w:rsidR="00002C39" w:rsidRPr="00C77829" w:rsidRDefault="00002C39">
      <w:pPr>
        <w:spacing w:line="360" w:lineRule="auto"/>
        <w:ind w:left="-360" w:right="-360"/>
        <w:rPr>
          <w:rFonts w:ascii="Google Sans" w:eastAsia="Google Sans" w:hAnsi="Google Sans" w:cs="Google Sans"/>
        </w:rPr>
      </w:pPr>
    </w:p>
    <w:p w14:paraId="552AA784" w14:textId="77777777" w:rsidR="00002C39" w:rsidRPr="00C77829" w:rsidRDefault="00002C39">
      <w:pPr>
        <w:spacing w:line="360" w:lineRule="auto"/>
        <w:ind w:left="-360" w:right="-360"/>
        <w:rPr>
          <w:rFonts w:ascii="Google Sans" w:eastAsia="Google Sans" w:hAnsi="Google Sans" w:cs="Google Sans"/>
        </w:rPr>
      </w:pPr>
    </w:p>
    <w:sectPr w:rsidR="00002C39" w:rsidRPr="00C7782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1EEBA" w14:textId="77777777" w:rsidR="003D6690" w:rsidRDefault="003D6690">
      <w:pPr>
        <w:spacing w:line="240" w:lineRule="auto"/>
      </w:pPr>
      <w:r>
        <w:separator/>
      </w:r>
    </w:p>
  </w:endnote>
  <w:endnote w:type="continuationSeparator" w:id="0">
    <w:p w14:paraId="76DCB46A" w14:textId="77777777" w:rsidR="003D6690" w:rsidRDefault="003D66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5F3226A1-CACD-4852-8150-453E47F6507E}"/>
  </w:font>
  <w:font w:name="Calibri">
    <w:panose1 w:val="020F0502020204030204"/>
    <w:charset w:val="00"/>
    <w:family w:val="swiss"/>
    <w:pitch w:val="variable"/>
    <w:sig w:usb0="E4002EFF" w:usb1="C200247B" w:usb2="00000009" w:usb3="00000000" w:csb0="000001FF" w:csb1="00000000"/>
    <w:embedRegular r:id="rId2" w:fontKey="{F85D870E-84D1-4CB0-BE5D-14285C8710FC}"/>
  </w:font>
  <w:font w:name="Cambria">
    <w:panose1 w:val="02040503050406030204"/>
    <w:charset w:val="00"/>
    <w:family w:val="roman"/>
    <w:pitch w:val="variable"/>
    <w:sig w:usb0="E00006FF" w:usb1="420024FF" w:usb2="02000000" w:usb3="00000000" w:csb0="0000019F" w:csb1="00000000"/>
    <w:embedRegular r:id="rId3" w:fontKey="{B3DE4459-AC0E-4570-91A5-A1C461032CA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67567" w14:textId="77777777" w:rsidR="003D6690" w:rsidRDefault="003D6690">
      <w:pPr>
        <w:spacing w:line="240" w:lineRule="auto"/>
      </w:pPr>
      <w:r>
        <w:separator/>
      </w:r>
    </w:p>
  </w:footnote>
  <w:footnote w:type="continuationSeparator" w:id="0">
    <w:p w14:paraId="67A96358" w14:textId="77777777" w:rsidR="003D6690" w:rsidRDefault="003D669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C39"/>
    <w:rsid w:val="00002C39"/>
    <w:rsid w:val="003D6690"/>
    <w:rsid w:val="00424636"/>
    <w:rsid w:val="00732764"/>
    <w:rsid w:val="00C77829"/>
    <w:rsid w:val="00DA11CE"/>
    <w:rsid w:val="00E16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4EB01"/>
  <w15:docId w15:val="{A7BE7192-21C2-4B20-80E5-C4D21713B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732764"/>
    <w:pPr>
      <w:tabs>
        <w:tab w:val="center" w:pos="4680"/>
        <w:tab w:val="right" w:pos="9360"/>
      </w:tabs>
      <w:spacing w:line="240" w:lineRule="auto"/>
    </w:pPr>
  </w:style>
  <w:style w:type="character" w:customStyle="1" w:styleId="HeaderChar">
    <w:name w:val="Header Char"/>
    <w:basedOn w:val="DefaultParagraphFont"/>
    <w:link w:val="Header"/>
    <w:uiPriority w:val="99"/>
    <w:rsid w:val="00732764"/>
  </w:style>
  <w:style w:type="paragraph" w:styleId="Footer">
    <w:name w:val="footer"/>
    <w:basedOn w:val="Normal"/>
    <w:link w:val="FooterChar"/>
    <w:uiPriority w:val="99"/>
    <w:unhideWhenUsed/>
    <w:rsid w:val="00732764"/>
    <w:pPr>
      <w:tabs>
        <w:tab w:val="center" w:pos="4680"/>
        <w:tab w:val="right" w:pos="9360"/>
      </w:tabs>
      <w:spacing w:line="240" w:lineRule="auto"/>
    </w:pPr>
  </w:style>
  <w:style w:type="character" w:customStyle="1" w:styleId="FooterChar">
    <w:name w:val="Footer Char"/>
    <w:basedOn w:val="DefaultParagraphFont"/>
    <w:link w:val="Footer"/>
    <w:uiPriority w:val="99"/>
    <w:rsid w:val="007327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341</Words>
  <Characters>1947</Characters>
  <Application>Microsoft Office Word</Application>
  <DocSecurity>0</DocSecurity>
  <Lines>16</Lines>
  <Paragraphs>4</Paragraphs>
  <ScaleCrop>false</ScaleCrop>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omar nasir</cp:lastModifiedBy>
  <cp:revision>2</cp:revision>
  <dcterms:created xsi:type="dcterms:W3CDTF">2025-11-15T00:12:00Z</dcterms:created>
  <dcterms:modified xsi:type="dcterms:W3CDTF">2025-11-15T00:12:00Z</dcterms:modified>
</cp:coreProperties>
</file>