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Anti-Money Laundering and Counter-Terrorism Financing Policy</w:t>
      </w:r>
    </w:p>
    <w:p>
      <w:r>
        <w:t>Document ID: POL-AML-2025-004</w:t>
      </w:r>
    </w:p>
    <w:p>
      <w:r>
        <w:t>Effective Date: January 1, 2025</w:t>
      </w:r>
    </w:p>
    <w:p>
      <w:r>
        <w:t>Classification: Strictly Confidential</w:t>
      </w:r>
    </w:p>
    <w:p>
      <w:pPr>
        <w:pStyle w:val="Heading1"/>
      </w:pPr>
      <w:r>
        <w:t>1. Regulatory Framework</w:t>
      </w:r>
    </w:p>
    <w:p>
      <w:r>
        <w:t>This policy is issued in compliance with Central Bank Circular No. 2024/AML/012 and the Anti-Money Laundering Law No. 80 of 2002 (as amended). The Bank must maintain a risk-based approach to AML/CTF in accordance with FATF Recommendations.</w:t>
      </w:r>
    </w:p>
    <w:p>
      <w:pPr>
        <w:pStyle w:val="Heading1"/>
      </w:pPr>
      <w:r>
        <w:t>2. Customer Due Diligence (CDD)</w:t>
      </w:r>
    </w:p>
    <w:p>
      <w:pPr>
        <w:pStyle w:val="Heading2"/>
      </w:pPr>
      <w:r>
        <w:t>2.1 Standard CDD</w:t>
      </w:r>
    </w:p>
    <w:p>
      <w:r>
        <w:t>Standard CDD must be performed for all new customers. This includes identity verification, beneficial ownership identification, and understanding the purpose of the business relationship. For individual accounts, a valid national ID or passport is required along with proof of address dated within the last 3 months.</w:t>
      </w:r>
    </w:p>
    <w:p>
      <w:pPr>
        <w:pStyle w:val="Heading2"/>
      </w:pPr>
      <w:r>
        <w:t>2.2 Enhanced Due Diligence (EDD)</w:t>
      </w:r>
    </w:p>
    <w:p>
      <w:r>
        <w:t>Enhanced Due Diligence is mandatory for: (a) Politically Exposed Persons (PEPs), (b) customers from high-risk jurisdictions as defined in Appendix A of the Country Risk Assessment, (c) correspondent banking relationships, and (d) any customer with transactions flagged by the Transaction Monitoring System (TMS). EDD requires approval from the Compliance Committee (see Governance Policy, Section 3.2 for committee composition).</w:t>
      </w:r>
    </w:p>
    <w:p>
      <w:pPr>
        <w:pStyle w:val="Heading1"/>
      </w:pPr>
      <w:r>
        <w:t>3. Transaction Monitoring</w:t>
      </w:r>
    </w:p>
    <w:p>
      <w:pPr>
        <w:pStyle w:val="Heading2"/>
      </w:pPr>
      <w:r>
        <w:t>3.1 Monitoring Thresholds</w:t>
      </w:r>
    </w:p>
    <w:p>
      <w:r>
        <w:t>All cash transactions exceeding EGP 300,000 (or equivalent in foreign currency, calculated using the daily FX rates published by the Treasury Department as per FX Policy Section 3) must be reported to the Money Laundering Reporting Officer (MLRO). Multiple transactions by the same customer aggregating to EGP 500,000 within a 30-day rolling window must trigger an automatic alert.</w:t>
      </w:r>
    </w:p>
    <w:p>
      <w:pPr>
        <w:pStyle w:val="Heading2"/>
      </w:pPr>
      <w:r>
        <w:t>3.2 Suspicious Activity Reporting</w:t>
      </w:r>
    </w:p>
    <w:p>
      <w:r>
        <w:t>IF a transaction is flagged as suspicious by the TMS, THEN the branch must file a preliminary report to the MLRO within 24 hours. IF the MLRO confirms the suspicion, THEN a Suspicious Transaction Report (STR) must be filed with the Financial Intelligence Unit (FIU) within 3 business days. The MLRO reports to the Chief Risk Officer (CRO) who has ultimate responsibility for AML compliance oversight (see Risk Governance Policy, Section 2.1).</w:t>
      </w:r>
    </w:p>
    <w:p>
      <w:pPr>
        <w:pStyle w:val="Heading1"/>
      </w:pPr>
      <w:r>
        <w:t>4. Sanctions Screening</w:t>
      </w:r>
    </w:p>
    <w:p>
      <w:r>
        <w:t>All customers and transactions must be screened against: UN Security Council sanctions lists, OFAC SDN list, EU sanctions lists, and local Central Bank restricted lists. Sanctions screening must occur at onboarding, periodically (at least quarterly), and for every wire transfer. Any positive match must freeze the transaction and be escalated to the Compliance Committee within 2 hours.</w:t>
      </w:r>
    </w:p>
    <w:p>
      <w:pPr>
        <w:pStyle w:val="Heading1"/>
      </w:pPr>
      <w:r>
        <w:t>5. Record Retention</w:t>
      </w:r>
    </w:p>
    <w:p>
      <w:r>
        <w:t>All CDD records must be retained for a minimum of 5 years after the end of the customer relationship. Transaction records must be retained for 10 years. STR-related records must be retained indefinitely until cleared by the FIU. These requirements align with the Bank's Data Governance Policy (POL-DG-2025-009, Section 4).</w:t>
      </w:r>
    </w:p>
    <w:p>
      <w:pPr>
        <w:pStyle w:val="Heading1"/>
      </w:pPr>
      <w:r>
        <w:t>6. العقوبات والمخالفات</w:t>
      </w:r>
    </w:p>
    <w:p>
      <w:r>
        <w:t>أي موظف يخالف أحكام سياسة مكافحة غسل الأموال يتعرض لإجراءات تأديبية وفقاً لسياسة الموارد البشرية. في حالة المخالفات الجسيمة، يتم إبلاغ الجهات الرقابية المختصة. يتحمل مدير المخاطر التنفيذي (CRO) المسؤولية النهائية عن الامتثال لمتطلبات مكافحة غسل الأموال.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