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Continuity Management Policy</w:t>
      </w:r>
    </w:p>
    <w:p>
      <w:r>
        <w:t>Document ID: POL-BCM-2025-015</w:t>
      </w:r>
    </w:p>
    <w:p>
      <w:r>
        <w:t>Effective Date: January 1, 2025</w:t>
      </w:r>
    </w:p>
    <w:p>
      <w:pPr>
        <w:pStyle w:val="Heading1"/>
      </w:pPr>
      <w:r>
        <w:t>1. BIA and Recovery Objectives</w:t>
      </w:r>
    </w:p>
    <w:p>
      <w:r>
        <w:t>The Business Impact Analysis (BIA) identifies critical business functions and their Recovery Time Objectives (RTO) and Recovery Point Objectives (RPO). Critical functions include: payment processing (RTO: 4 hours, RPO: 0), core banking system (RTO: 4 hours, RPO: 1 hour), FX trading (RTO: 2 hours, RPO: 0), ATM/POS network (RTO: 8 hours), and SWIFT messaging (RTO: 2 hours, RPO: 0).</w:t>
      </w:r>
    </w:p>
    <w:p>
      <w:pPr>
        <w:pStyle w:val="Heading1"/>
      </w:pPr>
      <w:r>
        <w:t>2. Crisis Management Team</w:t>
      </w:r>
    </w:p>
    <w:p>
      <w:r>
        <w:t>The Crisis Management Team (CMT) is chaired by the CEO and includes: CFO, CRO, CTO, CCO, Head of Operations, Head of IT, and the Corporate Communications Director. The CMT activates when a disruption is expected to exceed 4 hours or affects multiple business units. The CMT reports situation updates to the Board Chairman every 6 hours during active incidents.</w:t>
      </w:r>
    </w:p>
    <w:p>
      <w:pPr>
        <w:pStyle w:val="Heading1"/>
      </w:pPr>
      <w:r>
        <w:t>3. IT Disaster Recovery</w:t>
      </w:r>
    </w:p>
    <w:p>
      <w:r>
        <w:t>The IT Disaster Recovery (DR) plan is maintained by the IT Department in coordination with the Business Continuity Officer. The primary data center is located in Cairo, with the DR site in Alexandria. Data replication is synchronous for core banking and FX trading systems, and asynchronous (max 1-hour lag) for all other systems. DR testing is conducted semi-annually with results reported to the Board IT Committee.</w:t>
      </w:r>
    </w:p>
    <w:p>
      <w:pPr>
        <w:pStyle w:val="Heading1"/>
      </w:pPr>
      <w:r>
        <w:t>4. Pandemic and Staff Unavailability</w:t>
      </w:r>
    </w:p>
    <w:p>
      <w:r>
        <w:t>In case of staff unavailability exceeding 30%, the Bank activates split-team operations. Critical functions (as defined in Section 1) maintain minimum staffing levels: Treasury operations require at least 3 dealers (per Treasury Operations Manual, dealing room minimum staffing), payment processing requires 5 operators, and IT support requires 4 engineers. Remote work capability must be pre-tested quarterly.</w:t>
      </w:r>
    </w:p>
    <w:p>
      <w:pPr>
        <w:pStyle w:val="Heading1"/>
      </w:pPr>
      <w:r>
        <w:t>5. Communication During Disruption</w:t>
      </w:r>
    </w:p>
    <w:p>
      <w:r>
        <w:t>External communications during business disruption events are managed exclusively by the Corporate Communications Director in consultation with the CEO and CCO. No employee may communicate with media or regulators about the disruption without CMT authorization. Regulatory notification (to Central Bank Supervision Department) must occur within 2 hours of CMT activation for events affecting payment systems or customer data, as per the Operational Risk Framework Section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