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Capital Adequacy Policy</w:t>
      </w:r>
    </w:p>
    <w:p>
      <w:r>
        <w:t>Document ID: POL-CA-2025-007</w:t>
      </w:r>
    </w:p>
    <w:p>
      <w:r>
        <w:t>Effective Date: January 1, 2025</w:t>
      </w:r>
    </w:p>
    <w:p>
      <w:pPr>
        <w:pStyle w:val="Heading1"/>
      </w:pPr>
      <w:r>
        <w:t>1. Capital Structure</w:t>
      </w:r>
    </w:p>
    <w:p>
      <w:pPr>
        <w:pStyle w:val="Heading2"/>
      </w:pPr>
      <w:r>
        <w:t>1.1 Tier 1 Capital Definition</w:t>
      </w:r>
    </w:p>
    <w:p>
      <w:r>
        <w:t>Tier 1 Capital (Core Capital) consists of: Common Equity Tier 1 (CET1) capital comprising paid-up capital, retained earnings, and other comprehensive income reserves, net of regulatory deductions. As of December 31, 2024, the Bank's Tier 1 capital stands at EGP 2,500,000,000 (two billion five hundred million Egyptian Pounds). This figure is used as the denominator for all risk limit calculations across the Bank's policies.</w:t>
      </w:r>
    </w:p>
    <w:p>
      <w:pPr>
        <w:pStyle w:val="Heading2"/>
      </w:pPr>
      <w:r>
        <w:t>1.2 Tier 2 Capital</w:t>
      </w:r>
    </w:p>
    <w:p>
      <w:r>
        <w:t>Tier 2 Capital includes: subordinated debt instruments with original maturity of at least 5 years, general provisions (up to 1.25% of risk-weighted assets), and revaluation reserves at a 45% discount. Total Tier 2 capital shall not exceed 100% of Tier 1 capital.</w:t>
      </w:r>
    </w:p>
    <w:p>
      <w:pPr>
        <w:pStyle w:val="Heading1"/>
      </w:pPr>
      <w:r>
        <w:t>2. Minimum Capital Ratios</w:t>
      </w:r>
    </w:p>
    <w:p>
      <w:r>
        <w:t>The Bank must maintain the following minimum capital ratios at all times: Common Equity Tier 1 (CET1) ratio: 7.0% (including 2.5% conservation buffer). Tier 1 capital ratio: 8.5%. Total capital ratio: 12.5% (including 2.5% conservation buffer). These ratios are calculated using risk-weighted assets (RWA) under the standardized approach.</w:t>
      </w:r>
    </w:p>
    <w:p>
      <w:pPr>
        <w:pStyle w:val="Heading1"/>
      </w:pPr>
      <w:r>
        <w:t>3. Capital Allocation for Risk Types</w:t>
      </w:r>
    </w:p>
    <w:p>
      <w:pPr>
        <w:pStyle w:val="Heading2"/>
      </w:pPr>
      <w:r>
        <w:t>3.1 Credit Risk Capital</w:t>
      </w:r>
    </w:p>
    <w:p>
      <w:r>
        <w:t>Credit risk capital is allocated based on the standardized approach under Basel III. The single borrower limit of 20% of Tier 1 capital (see Credit Risk Policy, Section 3) translates to a maximum exposure of EGP 500,000,000 per borrower. Connected party limit of 25% of Tier 1 capital equals EGP 625,000,000.</w:t>
      </w:r>
    </w:p>
    <w:p>
      <w:pPr>
        <w:pStyle w:val="Heading2"/>
      </w:pPr>
      <w:r>
        <w:t>3.2 Market Risk Capital (FX)</w:t>
      </w:r>
    </w:p>
    <w:p>
      <w:r>
        <w:t>Market risk capital for FX positions is calculated using the standardized measurement method. The aggregate NOP limit of 25% of Tier 1 capital (see FX Policy, Section 2.1) equals EGP 625,000,000. Individual currency position limit of 15% equals EGP 375,000,000. Capital charge for FX risk is 8% of the higher of total long or total short positions.</w:t>
      </w:r>
    </w:p>
    <w:p>
      <w:pPr>
        <w:pStyle w:val="Heading2"/>
      </w:pPr>
      <w:r>
        <w:t>3.3 Operational Risk Capital</w:t>
      </w:r>
    </w:p>
    <w:p>
      <w:r>
        <w:t>Operational risk capital is calculated using the Basic Indicator Approach: 15% of average gross income over the last 3 years. The Bank allocates an additional operational risk buffer of 2% of Tier 1 capital (EGP 50,000,000) for unexpected operational losses. This buffer is reviewed quarterly by the Executive Risk Committee.</w:t>
      </w:r>
    </w:p>
    <w:p>
      <w:pPr>
        <w:pStyle w:val="Heading1"/>
      </w:pPr>
      <w:r>
        <w:t>4. Capital Conservation Actions</w:t>
      </w:r>
    </w:p>
    <w:p>
      <w:r>
        <w:t>IF the total capital ratio falls below 13.0%, THEN dividend distributions are restricted: the Bank may distribute a maximum of 60% of earnings. IF the ratio falls below 12.5%, THEN all dividends are suspended and a capital restoration plan must be submitted to the Central Bank within 30 days. IF the CET1 ratio falls below 5.5%, THEN the Bank enters Prompt Corrective Action (PCA) and must reduce risk-weighted assets by curtailing new lending (Credit Risk Policy) and closing proprietary trading positions (FX Policy, Section 2.2).</w:t>
      </w:r>
    </w:p>
    <w:p>
      <w:pPr>
        <w:pStyle w:val="Heading1"/>
      </w:pPr>
      <w:r>
        <w:t>5. العلاقة مع سياسات المخاطر الأخرى</w:t>
      </w:r>
    </w:p>
    <w:p>
      <w:r>
        <w:t>تستخدم جميع سياسات إدارة المخاطر رأس المال من الشريحة الأولى كأساس لحساب حدود المخاطر: سياسة مخاطر الائتمان: الحد الأقصى للمقترض الواحد = 20% = 500 مليون جنيه. سياسة الصرف الأجنبي: حد المركز المفتوح الصافي = 25% = 625 مليون جنيه. سياسة مخاطر التشغيل: احتياطي الخسائر غير المتوقعة = 2% = 50 مليون جنيه.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