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Climate and Environmental Risk Management Framework</w:t>
      </w:r>
    </w:p>
    <w:p>
      <w:r>
        <w:t>Document ID: FRM-CLM-2025-025</w:t>
      </w:r>
    </w:p>
    <w:p>
      <w:r>
        <w:t>Effective Date: March 1, 2025</w:t>
      </w:r>
    </w:p>
    <w:p>
      <w:pPr>
        <w:pStyle w:val="Heading1"/>
      </w:pPr>
      <w:r>
        <w:t>1. Governance of Climate Risk</w:t>
      </w:r>
    </w:p>
    <w:p>
      <w:r>
        <w:t>Climate risk oversight is assigned to the Board Risk Committee (BRC). The CRO designates a Climate Risk Officer within the Risk Management Department. Climate risk is integrated into the existing Risk Management Framework (credit, market, operational) rather than treated as a separate risk category. The Climate Risk Officer reports quarterly to the BRC and annually to the full Board.</w:t>
      </w:r>
    </w:p>
    <w:p>
      <w:pPr>
        <w:pStyle w:val="Heading1"/>
      </w:pPr>
      <w:r>
        <w:t>2. Physical Risk Assessment</w:t>
      </w:r>
    </w:p>
    <w:p>
      <w:r>
        <w:t>Physical risks (flooding, heat stress, water scarcity) are assessed for the Bank's: (a) own premises — BCM Policy Section 1 recovery objectives apply, (b) collateral portfolio — Credit Risk Policy Section 6 collateral valuation must incorporate physical risk discounts for properties in high-risk zones, (c) borrower operations — sector risk assessment per Credit Risk Policy Section 7 includes climate vulnerability scoring.</w:t>
      </w:r>
    </w:p>
    <w:p>
      <w:pPr>
        <w:pStyle w:val="Heading1"/>
      </w:pPr>
      <w:r>
        <w:t>3. Transition Risk Assessment</w:t>
      </w:r>
    </w:p>
    <w:p>
      <w:r>
        <w:t>Transition risks from policy changes, technology shifts, and market repricing are assessed through: (a) Carbon-intensive sector identification — real estate, transportation, manufacturing, oil and gas, (b) Portfolio carbon footprint estimation, (c) Stress testing using transition scenarios from the Network for Greening the Financial System (NGFS). Results feed into the IFRS 9 ECL forward-looking overlay per the IFRS 9 Policy, Section 4.</w:t>
      </w:r>
    </w:p>
    <w:p>
      <w:pPr>
        <w:pStyle w:val="Heading1"/>
      </w:pPr>
      <w:r>
        <w:t>4. Green Lending Framework</w:t>
      </w:r>
    </w:p>
    <w:p>
      <w:r>
        <w:t>The Bank offers preferential terms for: (a) Energy efficiency projects — 50bps rate discount, (b) Renewable energy financing — extended tenor up to 15 years, (c) Green building certification — reduced collateral requirements. Green lending targets are set by ALCO and monitored by the Board Risk Committee. The Credit Risk Committee reviews sector limits annually with climate risk adjustments.</w:t>
      </w:r>
    </w:p>
    <w:p>
      <w:pPr>
        <w:pStyle w:val="Heading1"/>
      </w:pPr>
      <w:r>
        <w:t>5. TCFD Disclosure</w:t>
      </w:r>
    </w:p>
    <w:p>
      <w:r>
        <w:t>The Bank publishes annual climate risk disclosures following the Task Force on Climate-related Financial Disclosures (TCFD) framework. Disclosures cover: governance arrangements, strategy and scenario analysis, risk management integration, and metrics/targets. The disclosure is reviewed by the BACC and approved by the Board of Directors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