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Monitoring and Testing Program</w:t>
      </w:r>
    </w:p>
    <w:p>
      <w:r>
        <w:t>Document ID: POL-COMP-2025-012</w:t>
      </w:r>
    </w:p>
    <w:p>
      <w:r>
        <w:t>Effective Date: February 1, 2025</w:t>
      </w:r>
    </w:p>
    <w:p>
      <w:pPr>
        <w:pStyle w:val="Heading1"/>
      </w:pPr>
      <w:r>
        <w:t>1. Program Objectives</w:t>
      </w:r>
    </w:p>
    <w:p>
      <w:r>
        <w:t>The Compliance Monitoring and Testing Program (CMTP) provides independent assurance that the Bank's activities comply with applicable laws, regulations, and internal policies. The program is owned by the Chief Compliance Officer (CCO) who reports to the Board Audit and Compliance Committee (BACC).</w:t>
      </w:r>
    </w:p>
    <w:p>
      <w:pPr>
        <w:pStyle w:val="Heading1"/>
      </w:pPr>
      <w:r>
        <w:t>2. Annual Compliance Plan</w:t>
      </w:r>
    </w:p>
    <w:p>
      <w:pPr>
        <w:pStyle w:val="Heading2"/>
      </w:pPr>
      <w:r>
        <w:t>2.1 Risk-Based Prioritization</w:t>
      </w:r>
    </w:p>
    <w:p>
      <w:r>
        <w:t>The annual compliance testing plan is prioritized using the Compliance Risk Assessment (CRA) matrix. Areas rated High in the CRA must be tested at least semi-annually. Areas rated Medium must be tested annually. The CRA considers: regulatory change impact, prior findings severity, business volume, and operational complexity.</w:t>
      </w:r>
    </w:p>
    <w:p>
      <w:pPr>
        <w:pStyle w:val="Heading2"/>
      </w:pPr>
      <w:r>
        <w:t>2.2 Testing Scope</w:t>
      </w:r>
    </w:p>
    <w:p>
      <w:r>
        <w:t>Mandatory testing areas include: (a) AML/CTF transaction monitoring effectiveness (per AML Policy Section 3), (b) sanctions screening accuracy, (c) consumer protection compliance, (d) data privacy adherence (per Data Governance Policy), and (e) market conduct in FX and fixed income trading (per FX Policy and Treasury Operations Manual).</w:t>
      </w:r>
    </w:p>
    <w:p>
      <w:pPr>
        <w:pStyle w:val="Heading1"/>
      </w:pPr>
      <w:r>
        <w:t>3. Testing Methodology</w:t>
      </w:r>
    </w:p>
    <w:p>
      <w:r>
        <w:t>Compliance testing employs three methods: (1) Transaction testing — random sampling of transactions to verify policy adherence, minimum sample size of 30 or 10% of population (whichever is larger); (2) Process walkthroughs — end-to-end review of key processes; (3) Control testing — evaluation of control design and operating effectiveness.</w:t>
      </w:r>
    </w:p>
    <w:p>
      <w:pPr>
        <w:pStyle w:val="Heading1"/>
      </w:pPr>
      <w:r>
        <w:t>4. Findings and Remediation</w:t>
      </w:r>
    </w:p>
    <w:p>
      <w:pPr>
        <w:pStyle w:val="Heading2"/>
      </w:pPr>
      <w:r>
        <w:t>4.1 Finding Classification</w:t>
      </w:r>
    </w:p>
    <w:p>
      <w:r>
        <w:t>Findings are classified as: Critical (regulatory breach with potential penalty), Major (significant policy violation), Minor (procedural gap with low risk). Critical findings must be reported to the BACC Chair within 24 hours and to the Central Bank Supervision Department within 5 business days if required by regulation.</w:t>
      </w:r>
    </w:p>
    <w:p>
      <w:pPr>
        <w:pStyle w:val="Heading2"/>
      </w:pPr>
      <w:r>
        <w:t>4.2 Remediation Tracking</w:t>
      </w:r>
    </w:p>
    <w:p>
      <w:r>
        <w:t>All findings are logged in the Governance, Risk, and Compliance (GRC) system. Remediation deadlines are: Critical — 30 days, Major — 60 days, Minor — 90 days. The CCO provides a monthly remediation status report to the BACC. Any overdue Critical finding must be escalated to the Board of Directors.</w:t>
      </w:r>
    </w:p>
    <w:p>
      <w:pPr>
        <w:pStyle w:val="Heading1"/>
      </w:pPr>
      <w:r>
        <w:t>5. Regulatory Examination Support</w:t>
      </w:r>
    </w:p>
    <w:p>
      <w:r>
        <w:t>The Compliance Department coordinates all regulatory examinations. Pre-examination preparation includes: assembling requested documents, briefing senior management, and identifying potential areas of concern based on the latest CRA. Post-examination, the CCO ensures all regulatory recommendations are entered into the GRC system with assigned owners from relevant business units.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