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Consumer Protection and Fair Dealing Policy</w:t>
      </w:r>
    </w:p>
    <w:p>
      <w:r>
        <w:t>Document ID: POL-CP-2025-017</w:t>
      </w:r>
    </w:p>
    <w:p>
      <w:r>
        <w:t>Effective Date: March 1, 2025</w:t>
      </w:r>
    </w:p>
    <w:p>
      <w:pPr>
        <w:pStyle w:val="Heading1"/>
      </w:pPr>
      <w:r>
        <w:t>1. Fair Dealing Principles</w:t>
      </w:r>
    </w:p>
    <w:p>
      <w:r>
        <w:t>The Bank adheres to the Central Bank's Consumer Protection Regulations (Circular 2024/CP/001). All product pricing must be transparent with annual percentage rates (APR) clearly disclosed. No hidden fees or charges are permitted. The Compliance Department conducts quarterly mystery shopping exercises to verify branch-level adherence.</w:t>
      </w:r>
    </w:p>
    <w:p>
      <w:pPr>
        <w:pStyle w:val="Heading1"/>
      </w:pPr>
      <w:r>
        <w:t>2. Complaint Handling</w:t>
      </w:r>
    </w:p>
    <w:p>
      <w:pPr>
        <w:pStyle w:val="Heading2"/>
      </w:pPr>
      <w:r>
        <w:t>2.1 Internal Resolution</w:t>
      </w:r>
    </w:p>
    <w:p>
      <w:r>
        <w:t>Customer complaints must be acknowledged within 2 business days and resolved within 15 business days. Complex complaints involving multiple departments may extend to 30 business days with customer notification. The Customer Experience Unit tracks all complaints in the CRM system. Complaints involving potential regulatory violations must be copied to the CCO.</w:t>
      </w:r>
    </w:p>
    <w:p>
      <w:pPr>
        <w:pStyle w:val="Heading2"/>
      </w:pPr>
      <w:r>
        <w:t>2.2 Escalation</w:t>
      </w:r>
    </w:p>
    <w:p>
      <w:r>
        <w:t>If a complaint is not resolved within 30 business days, or if the customer is dissatisfied with the resolution, it is escalated to the Senior Customer Ombudsman. Complaints involving fraud, unauthorized transactions, or discrimination are immediately escalated to the CCO and the Operational Risk Unit. Systemic complaint patterns (more than 10 similar complaints in a quarter) must be reported to the Board Governance Committee.</w:t>
      </w:r>
    </w:p>
    <w:p>
      <w:pPr>
        <w:pStyle w:val="Heading1"/>
      </w:pPr>
      <w:r>
        <w:t>3. Product Suitability</w:t>
      </w:r>
    </w:p>
    <w:p>
      <w:r>
        <w:t>Before offering investment products to retail customers, the Bank must conduct a suitability assessment. This includes risk appetite questionnaire, financial literacy evaluation, and income/asset verification. Products classified as 'Complex' (including FX margin trading, structured deposits, and subordinated debt) may only be offered to customers classified as 'Qualified' per the Central Bank classification criteria.</w:t>
      </w:r>
    </w:p>
    <w:p>
      <w:pPr>
        <w:pStyle w:val="Heading1"/>
      </w:pPr>
      <w:r>
        <w:t>4. Vulnerable Customers</w:t>
      </w:r>
    </w:p>
    <w:p>
      <w:r>
        <w:t>The Bank maintains enhanced protections for vulnerable customers including: elderly (above 65), persons with disabilities, financially illiterate individuals (as identified by the literacy evaluation), and recent bereavement cases. Branch Managers must ensure vulnerable customers receive additional time and explanation. FX margin trading products are prohibited for vulnerable customers regardless of qualification status.</w:t>
      </w:r>
    </w:p>
    <w:p>
      <w:pPr>
        <w:pStyle w:val="Heading1"/>
      </w:pPr>
      <w:r>
        <w:t>5. Fee Transparency and Disclosure</w:t>
      </w:r>
    </w:p>
    <w:p>
      <w:r>
        <w:t>All fees and charges must be published on the Bank's website and displayed in branches. FX conversion spreads must be disclosed before execution (per FX Policy, Section 6). Account maintenance fees, ATM fees, and wire transfer fees must be provided to the customer in a standardized Key Facts Statement (KFS) at account opening. The KFS template is approved by the CCO and reviewed annually by the BACC.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