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Credit Risk Policy</w:t>
      </w:r>
    </w:p>
    <w:p>
      <w:r>
        <w:t>Document ID: POL-CR-2025-002</w:t>
      </w:r>
    </w:p>
    <w:p>
      <w:r>
        <w:t>Effective Date: January 1, 2025</w:t>
      </w:r>
    </w:p>
    <w:p>
      <w:pPr>
        <w:pStyle w:val="Heading1"/>
      </w:pPr>
      <w:r>
        <w:t>1. Purpose</w:t>
      </w:r>
    </w:p>
    <w:p>
      <w:r>
        <w:t>This policy defines the Bank's approach to credit risk management across all lending activities. It establishes approval authorities, concentration limits, and provisioning standards.</w:t>
      </w:r>
    </w:p>
    <w:p>
      <w:pPr>
        <w:pStyle w:val="Heading1"/>
      </w:pPr>
      <w:r>
        <w:t>2. Lending Authorities</w:t>
      </w:r>
    </w:p>
    <w:p>
      <w:pPr>
        <w:pStyle w:val="Heading2"/>
      </w:pPr>
      <w:r>
        <w:t>2.1 Approval Matrix</w:t>
      </w:r>
    </w:p>
    <w:p>
      <w:r>
        <w:t>All credit facilities must be approved according to the following authority matrix. No single approver may approve a facility exceeding their delegated authority.</w:t>
      </w:r>
    </w:p>
    <w:tbl>
      <w:tblPr>
        <w:tblStyle w:val="TableGrid"/>
        <w:tblW w:type="auto" w:w="0"/>
        <w:tblLook w:firstColumn="1" w:firstRow="1" w:lastColumn="0" w:lastRow="0" w:noHBand="0" w:noVBand="1" w:val="04A0"/>
      </w:tblPr>
      <w:tblGrid>
        <w:gridCol w:w="2880"/>
        <w:gridCol w:w="2880"/>
        <w:gridCol w:w="2880"/>
      </w:tblGrid>
      <w:tr>
        <w:tc>
          <w:tcPr>
            <w:tcW w:type="dxa" w:w="2880"/>
          </w:tcPr>
          <w:p>
            <w:r>
              <w:t>Authority Level</w:t>
            </w:r>
          </w:p>
        </w:tc>
        <w:tc>
          <w:tcPr>
            <w:tcW w:type="dxa" w:w="2880"/>
          </w:tcPr>
          <w:p>
            <w:r>
              <w:t>Maximum Facility Amount (EGP)</w:t>
            </w:r>
          </w:p>
        </w:tc>
        <w:tc>
          <w:tcPr>
            <w:tcW w:type="dxa" w:w="2880"/>
          </w:tcPr>
          <w:p>
            <w:r>
              <w:t>Conditions</w:t>
            </w:r>
          </w:p>
        </w:tc>
      </w:tr>
      <w:tr>
        <w:tc>
          <w:tcPr>
            <w:tcW w:type="dxa" w:w="2880"/>
          </w:tcPr>
          <w:p>
            <w:r>
              <w:t>Branch Manager</w:t>
            </w:r>
          </w:p>
        </w:tc>
        <w:tc>
          <w:tcPr>
            <w:tcW w:type="dxa" w:w="2880"/>
          </w:tcPr>
          <w:p>
            <w:r>
              <w:t>5,000,000</w:t>
            </w:r>
          </w:p>
        </w:tc>
        <w:tc>
          <w:tcPr>
            <w:tcW w:type="dxa" w:w="2880"/>
          </w:tcPr>
          <w:p>
            <w:r>
              <w:t>Secured facilities only</w:t>
            </w:r>
          </w:p>
        </w:tc>
      </w:tr>
      <w:tr>
        <w:tc>
          <w:tcPr>
            <w:tcW w:type="dxa" w:w="2880"/>
          </w:tcPr>
          <w:p>
            <w:r>
              <w:t>Regional Credit Committee</w:t>
            </w:r>
          </w:p>
        </w:tc>
        <w:tc>
          <w:tcPr>
            <w:tcW w:type="dxa" w:w="2880"/>
          </w:tcPr>
          <w:p>
            <w:r>
              <w:t>25,000,000</w:t>
            </w:r>
          </w:p>
        </w:tc>
        <w:tc>
          <w:tcPr>
            <w:tcW w:type="dxa" w:w="2880"/>
          </w:tcPr>
          <w:p>
            <w:r>
              <w:t>Collateral coverage ≥ 120%</w:t>
            </w:r>
          </w:p>
        </w:tc>
      </w:tr>
      <w:tr>
        <w:tc>
          <w:tcPr>
            <w:tcW w:type="dxa" w:w="2880"/>
          </w:tcPr>
          <w:p>
            <w:r>
              <w:t>Head Office Credit Committee</w:t>
            </w:r>
          </w:p>
        </w:tc>
        <w:tc>
          <w:tcPr>
            <w:tcW w:type="dxa" w:w="2880"/>
          </w:tcPr>
          <w:p>
            <w:r>
              <w:t>100,000,000</w:t>
            </w:r>
          </w:p>
        </w:tc>
        <w:tc>
          <w:tcPr>
            <w:tcW w:type="dxa" w:w="2880"/>
          </w:tcPr>
          <w:p>
            <w:r>
              <w:t>Full risk assessment required</w:t>
            </w:r>
          </w:p>
        </w:tc>
      </w:tr>
      <w:tr>
        <w:tc>
          <w:tcPr>
            <w:tcW w:type="dxa" w:w="2880"/>
          </w:tcPr>
          <w:p>
            <w:r>
              <w:t>Board of Directors</w:t>
            </w:r>
          </w:p>
        </w:tc>
        <w:tc>
          <w:tcPr>
            <w:tcW w:type="dxa" w:w="2880"/>
          </w:tcPr>
          <w:p>
            <w:r>
              <w:t>Above 100,000,000</w:t>
            </w:r>
          </w:p>
        </w:tc>
        <w:tc>
          <w:tcPr>
            <w:tcW w:type="dxa" w:w="2880"/>
          </w:tcPr>
          <w:p>
            <w:r>
              <w:t>Special resolution required</w:t>
            </w:r>
          </w:p>
        </w:tc>
      </w:tr>
    </w:tbl>
    <w:p/>
    <w:p>
      <w:pPr>
        <w:pStyle w:val="Heading1"/>
      </w:pPr>
      <w:r>
        <w:t>3. Concentration Limits</w:t>
      </w:r>
    </w:p>
    <w:p>
      <w:r>
        <w:t>Single borrower exposure shall not exceed 20% of the Bank's Tier 1 capital. Connected party exposure shall not exceed 25% of Tier 1 capital. Sector concentration shall not exceed 30% of total loan portfolio for any single sector.</w:t>
      </w:r>
    </w:p>
    <w:p>
      <w:pPr>
        <w:pStyle w:val="Heading2"/>
      </w:pPr>
      <w:r>
        <w:t>3.1 Related Party Lending</w:t>
      </w:r>
    </w:p>
    <w:p>
      <w:r>
        <w:t>Loans to related parties are subject to additional restrictions as per Central Bank Circular No. 2024/CR/007. All related party facilities must be approved by the Board of Directors. The aggregate related party exposure shall not exceed 10% of Tier 1 capital.</w:t>
      </w:r>
    </w:p>
    <w:p>
      <w:pPr>
        <w:pStyle w:val="Heading1"/>
      </w:pPr>
      <w:r>
        <w:t>4. Collateral Requirements</w:t>
      </w:r>
    </w:p>
    <w:p>
      <w:pPr>
        <w:pStyle w:val="Heading2"/>
      </w:pPr>
      <w:r>
        <w:t>4.1 Loan-to-Value Ratios</w:t>
      </w:r>
    </w:p>
    <w:tbl>
      <w:tblPr>
        <w:tblStyle w:val="TableGrid"/>
        <w:tblW w:type="auto" w:w="0"/>
        <w:tblLook w:firstColumn="1" w:firstRow="1" w:lastColumn="0" w:lastRow="0" w:noHBand="0" w:noVBand="1" w:val="04A0"/>
      </w:tblPr>
      <w:tblGrid>
        <w:gridCol w:w="2880"/>
        <w:gridCol w:w="2880"/>
        <w:gridCol w:w="2880"/>
      </w:tblGrid>
      <w:tr>
        <w:tc>
          <w:tcPr>
            <w:tcW w:type="dxa" w:w="2880"/>
          </w:tcPr>
          <w:p>
            <w:r>
              <w:t>Loan Type</w:t>
            </w:r>
          </w:p>
        </w:tc>
        <w:tc>
          <w:tcPr>
            <w:tcW w:type="dxa" w:w="2880"/>
          </w:tcPr>
          <w:p>
            <w:r>
              <w:t>Maximum LTV Ratio</w:t>
            </w:r>
          </w:p>
        </w:tc>
        <w:tc>
          <w:tcPr>
            <w:tcW w:type="dxa" w:w="2880"/>
          </w:tcPr>
          <w:p>
            <w:r>
              <w:t>Minimum Collateral Coverage</w:t>
            </w:r>
          </w:p>
        </w:tc>
      </w:tr>
      <w:tr>
        <w:tc>
          <w:tcPr>
            <w:tcW w:type="dxa" w:w="2880"/>
          </w:tcPr>
          <w:p>
            <w:r>
              <w:t>Mortgage — Residential</w:t>
            </w:r>
          </w:p>
        </w:tc>
        <w:tc>
          <w:tcPr>
            <w:tcW w:type="dxa" w:w="2880"/>
          </w:tcPr>
          <w:p>
            <w:r>
              <w:t>80%</w:t>
            </w:r>
          </w:p>
        </w:tc>
        <w:tc>
          <w:tcPr>
            <w:tcW w:type="dxa" w:w="2880"/>
          </w:tcPr>
          <w:p>
            <w:r>
              <w:t>125%</w:t>
            </w:r>
          </w:p>
        </w:tc>
      </w:tr>
      <w:tr>
        <w:tc>
          <w:tcPr>
            <w:tcW w:type="dxa" w:w="2880"/>
          </w:tcPr>
          <w:p>
            <w:r>
              <w:t>Mortgage — Commercial</w:t>
            </w:r>
          </w:p>
        </w:tc>
        <w:tc>
          <w:tcPr>
            <w:tcW w:type="dxa" w:w="2880"/>
          </w:tcPr>
          <w:p>
            <w:r>
              <w:t>70%</w:t>
            </w:r>
          </w:p>
        </w:tc>
        <w:tc>
          <w:tcPr>
            <w:tcW w:type="dxa" w:w="2880"/>
          </w:tcPr>
          <w:p>
            <w:r>
              <w:t>143%</w:t>
            </w:r>
          </w:p>
        </w:tc>
      </w:tr>
      <w:tr>
        <w:tc>
          <w:tcPr>
            <w:tcW w:type="dxa" w:w="2880"/>
          </w:tcPr>
          <w:p>
            <w:r>
              <w:t>Working Capital (Secured)</w:t>
            </w:r>
          </w:p>
        </w:tc>
        <w:tc>
          <w:tcPr>
            <w:tcW w:type="dxa" w:w="2880"/>
          </w:tcPr>
          <w:p>
            <w:r>
              <w:t>75%</w:t>
            </w:r>
          </w:p>
        </w:tc>
        <w:tc>
          <w:tcPr>
            <w:tcW w:type="dxa" w:w="2880"/>
          </w:tcPr>
          <w:p>
            <w:r>
              <w:t>133%</w:t>
            </w:r>
          </w:p>
        </w:tc>
      </w:tr>
      <w:tr>
        <w:tc>
          <w:tcPr>
            <w:tcW w:type="dxa" w:w="2880"/>
          </w:tcPr>
          <w:p>
            <w:r>
              <w:t>Project Finance</w:t>
            </w:r>
          </w:p>
        </w:tc>
        <w:tc>
          <w:tcPr>
            <w:tcW w:type="dxa" w:w="2880"/>
          </w:tcPr>
          <w:p>
            <w:r>
              <w:t>65%</w:t>
            </w:r>
          </w:p>
        </w:tc>
        <w:tc>
          <w:tcPr>
            <w:tcW w:type="dxa" w:w="2880"/>
          </w:tcPr>
          <w:p>
            <w:r>
              <w:t>154%</w:t>
            </w:r>
          </w:p>
        </w:tc>
      </w:tr>
      <w:tr>
        <w:tc>
          <w:tcPr>
            <w:tcW w:type="dxa" w:w="2880"/>
          </w:tcPr>
          <w:p>
            <w:r>
              <w:t>Personal Loan (Secured)</w:t>
            </w:r>
          </w:p>
        </w:tc>
        <w:tc>
          <w:tcPr>
            <w:tcW w:type="dxa" w:w="2880"/>
          </w:tcPr>
          <w:p>
            <w:r>
              <w:t>85%</w:t>
            </w:r>
          </w:p>
        </w:tc>
        <w:tc>
          <w:tcPr>
            <w:tcW w:type="dxa" w:w="2880"/>
          </w:tcPr>
          <w:p>
            <w:r>
              <w:t>118%</w:t>
            </w:r>
          </w:p>
        </w:tc>
      </w:tr>
    </w:tbl>
    <w:p/>
    <w:p>
      <w:pPr>
        <w:pStyle w:val="Heading2"/>
      </w:pPr>
      <w:r>
        <w:t>4.2 Conditional Approval Criteria</w:t>
      </w:r>
    </w:p>
    <w:p>
      <w:r>
        <w:t>IF the borrower's debt-to-income ratio exceeds 40%, THEN the loan must be escalated to the Regional Credit Committee regardless of the facility amount. IF the borrower has existing exposure with the Bank exceeding EGP 10,000,000, THEN a comprehensive exposure review must be conducted before any new facility approval.</w:t>
      </w:r>
    </w:p>
    <w:p>
      <w:pPr>
        <w:pStyle w:val="Heading1"/>
      </w:pPr>
      <w:r>
        <w:t>5. متطلبات التوفير</w:t>
      </w:r>
    </w:p>
    <w:p>
      <w:r>
        <w:t>يجب على البنك تطبيق معايير المعيار الدولي للتقارير المالية رقم 9 (IFRS 9) في تصنيف القروض وتكوين المخصصات. المرحلة الأولى: مخصص خسائر ائتمانية متوقعة لمدة 12 شهراً. المرحلة الثانية: مخصص خسائر ائتمانية متوقعة لمدى الحياة عند زيادة مخاطر الائتمان بشكل ملحوظ. المرحلة الثالثة: مخصص خسائر ائتمانية متوقعة لمدى الحياة للقروض المتعثرة.</w:t>
      </w:r>
    </w:p>
    <w:p>
      <w:pPr>
        <w:pStyle w:val="Heading1"/>
      </w:pPr>
      <w:r>
        <w:t>6. FX-Denominated Credit Facilities</w:t>
      </w:r>
    </w:p>
    <w:p>
      <w:r>
        <w:t>Credit facilities denominated in foreign currencies are subject to both this Credit Risk Policy and the Foreign Exchange Policy (POL-FX-2025-001). The FX exposure arising from foreign currency loans must be included in the Bank's Net Open Position calculation (see FX Policy, Section 2.1). The combined credit and FX risk for any single borrower shall not exceed 30% of Tier 1 capital.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