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Governance Policy</w:t>
      </w:r>
    </w:p>
    <w:p>
      <w:r>
        <w:t>Document ID: POL-DG-2025-009</w:t>
      </w:r>
    </w:p>
    <w:p>
      <w:r>
        <w:t>Effective Date: January 1, 2025</w:t>
      </w:r>
    </w:p>
    <w:p>
      <w:pPr>
        <w:pStyle w:val="Heading1"/>
      </w:pPr>
      <w:r>
        <w:t>1. Data Classification</w:t>
      </w:r>
    </w:p>
    <w:p>
      <w:r>
        <w:t>All Bank data must be classified into one of four categories: Public: annual reports, published rates. Internal: operational procedures, internal communications. Confidential: customer data, financial records, risk reports. Strictly Confidential: Board minutes, strategic plans, AML investigation files.</w:t>
      </w:r>
    </w:p>
    <w:p>
      <w:pPr>
        <w:pStyle w:val="Heading1"/>
      </w:pPr>
      <w:r>
        <w:t>2. Data Ownership</w:t>
      </w:r>
    </w:p>
    <w:p>
      <w:r>
        <w:t>Each data domain has a designated Data Owner responsible for classification, access control, and quality. Key data owners: Customer Data: Head of Retail Banking. Financial Data: CFO. Risk Data: CRO. Compliance Data: Chief Compliance Officer (CCO). Data ownership assignments are reviewed annually by the Executive Risk Committee (see Governance Policy, Section 2.2).</w:t>
      </w:r>
    </w:p>
    <w:p>
      <w:pPr>
        <w:pStyle w:val="Heading1"/>
      </w:pPr>
      <w:r>
        <w:t>3. Data Quality Standards</w:t>
      </w:r>
    </w:p>
    <w:p>
      <w:r>
        <w:t>Risk-related data used in capital adequacy calculations (see Capital Adequacy Policy, Section 2) must meet the following quality standards: Completeness ≥ 99%, Accuracy ≥ 99.5%, Timeliness: updated within 1 business day. Data quality metrics are reported quarterly to the Board Risk Committee.</w:t>
      </w:r>
    </w:p>
    <w:p>
      <w:pPr>
        <w:pStyle w:val="Heading1"/>
      </w:pPr>
      <w:r>
        <w:t>4. Data Retention and Disposal</w:t>
      </w:r>
    </w:p>
    <w:p>
      <w:r>
        <w:t>Data retention periods are aligned with regulatory requirements: Customer identity records: minimum 5 years after relationship end (as per AML Policy, Section 5). Transaction records: minimum 10 years (as per AML Policy, Section 5). Credit facility records: minimum 7 years after facility closure. Board and committee minutes: permanent retention. Disposal of confidential data requires shredding (physical) or secure erasure (digital) with certification from the IT Department.</w:t>
      </w:r>
    </w:p>
    <w:p>
      <w:pPr>
        <w:pStyle w:val="Heading1"/>
      </w:pPr>
      <w:r>
        <w:t>5. Regulatory Reporting Data</w:t>
      </w:r>
    </w:p>
    <w:p>
      <w:r>
        <w:t>The Bank submits the following regulatory reports using data governed by this policy: Daily: Net Open Position report (FX Policy), Large Exposure report. Weekly: Liquidity ratios (Liquidity Policy, Section 2). Monthly: Capital Adequacy report (Capital Adequacy Policy), BRC risk summary. Quarterly: IFRS 9 provisioning report (Credit Risk Policy, Section 5). All regulatory reports must be signed off by both the Data Owner and the CRO.</w:t>
      </w:r>
    </w:p>
    <w:p>
      <w:pPr>
        <w:pStyle w:val="Heading1"/>
      </w:pPr>
      <w:r>
        <w:t>6. حماية البيانات الشخصية</w:t>
      </w:r>
    </w:p>
    <w:p>
      <w:r>
        <w:t>يلتزم البنك بحماية البيانات الشخصية للعملاء وفقاً لقانون حماية البيانات الشخصية رقم 151 لسنة 2020. يجب الحصول على موافقة العميل قبل مشاركة بياناته مع أطراف ثالثة. يتحمل مسؤول حماية البيانات (DPO) مسؤولية ضمان الامتثال لمتطلبات الخصوصية.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