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Banking and API Policy</w:t>
      </w:r>
    </w:p>
    <w:p>
      <w:r>
        <w:t>Document ID: POL-DIG-2025-026</w:t>
      </w:r>
    </w:p>
    <w:p>
      <w:r>
        <w:t>Effective Date: February 1, 2025</w:t>
      </w:r>
    </w:p>
    <w:p>
      <w:pPr>
        <w:pStyle w:val="Heading1"/>
      </w:pPr>
      <w:r>
        <w:t>1. Digital Channel Governance</w:t>
      </w:r>
    </w:p>
    <w:p>
      <w:r>
        <w:t>Digital banking channels (mobile app, internet banking, Open Banking APIs) are governed by the Digital Banking Committee (DBC), chaired by the Chief Digital Officer (CDO) with members from IT, Risk, Compliance, and Customer Experience. The DBC reports to the Board IT Committee. All digital product launches require DBC approval after: security assessment (per IT Security Policy), data privacy review (per Data Governance Policy), and consumer protection check (per Consumer Protection Policy).</w:t>
      </w:r>
    </w:p>
    <w:p>
      <w:pPr>
        <w:pStyle w:val="Heading1"/>
      </w:pPr>
      <w:r>
        <w:t>2. Open Banking and API Management</w:t>
      </w:r>
    </w:p>
    <w:p>
      <w:r>
        <w:t>The Bank's Open Banking APIs comply with Central Bank Open Banking Regulation 2024/OB/001. Third-party providers (TPPs) must be licensed by the Central Bank. API access is governed by OAuth 2.0 with mutual TLS authentication. Rate limits, consent management, and data minimization principles are enforced at the API gateway. TPP onboarding follows the Vendor Risk Management Policy with automatic Tier-2 classification.</w:t>
      </w:r>
    </w:p>
    <w:p>
      <w:pPr>
        <w:pStyle w:val="Heading1"/>
      </w:pPr>
      <w:r>
        <w:t>3. Digital Identity and Authentication</w:t>
      </w:r>
    </w:p>
    <w:p>
      <w:r>
        <w:t>Customer authentication for digital channels uses: (a) Level 1 (informational access) — username + password + device fingerprint, (b) Level 2 (transactions below EGP 50,000) — Level 1 + OTP, (c) Level 3 (transactions above EGP 50,000 or sensitive operations) — Level 2 + biometric verification. Biometric modalities include fingerprint, facial recognition, and voice recognition per the IT Security Policy Section 3.2.</w:t>
      </w:r>
    </w:p>
    <w:p>
      <w:pPr>
        <w:pStyle w:val="Heading1"/>
      </w:pPr>
      <w:r>
        <w:t>4. Digital Lending</w:t>
      </w:r>
    </w:p>
    <w:p>
      <w:r>
        <w:t>Pre-approved digital loans up to EGP 500,000 may be originated through mobile and internet banking. The credit decision uses the automated credit scoring model (per Model Risk Management Policy). Loans are subject to the same credit risk policies as branch-originated loans (per Credit Risk Policy). Digital loan disbursement requires real-time fraud check (per Fraud Prevention Policy, Section 2).</w:t>
      </w:r>
    </w:p>
    <w:p>
      <w:pPr>
        <w:pStyle w:val="Heading1"/>
      </w:pPr>
      <w:r>
        <w:t>5. Digital Customer Onboarding</w:t>
      </w:r>
    </w:p>
    <w:p>
      <w:r>
        <w:t>Video-KYC for remote account opening is permitted per Central Bank Circular 2024/KYC/002. The process includes: live video interview with trained staff, OCR of ID documents, liveness detection, and screening against AML watchlists (per AML Policy, Section 4). Digital CDD records are retained per the Data Governance Policy retention schedule and AML Policy Section 5 record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