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Foreign Exchange Policy</w:t>
      </w:r>
    </w:p>
    <w:p>
      <w:r>
        <w:t>Document ID: POL-FX-2025-001</w:t>
      </w:r>
    </w:p>
    <w:p>
      <w:r>
        <w:t>Effective Date: January 1, 2025</w:t>
      </w:r>
    </w:p>
    <w:p>
      <w:r>
        <w:t>Classification: Internal — Confidential</w:t>
      </w:r>
    </w:p>
    <w:p>
      <w:pPr>
        <w:pStyle w:val="Heading1"/>
      </w:pPr>
      <w:r>
        <w:t>1. Purpose and Scope</w:t>
      </w:r>
    </w:p>
    <w:p>
      <w:r>
        <w:t>This policy establishes the framework for foreign exchange (FX) operations conducted by the Bank. It applies to all FX transactions including spot, forward, and swap transactions. All business units engaging in FX activities must comply with this policy.</w:t>
      </w:r>
    </w:p>
    <w:p>
      <w:r>
        <w:t>سياسة الصرف الأجنبي هذه تحدد الإطار العام لعمليات الصرف الأجنبي التي يجريها البنك. تنطبق على جميع معاملات الصرف الأجنبي بما في ذلك المعاملات الفورية والآجلة ومعاملات المقايضة.</w:t>
      </w:r>
    </w:p>
    <w:p>
      <w:pPr>
        <w:pStyle w:val="Heading1"/>
      </w:pPr>
      <w:r>
        <w:t>2. Exposure Limits</w:t>
      </w:r>
    </w:p>
    <w:p>
      <w:pPr>
        <w:pStyle w:val="Heading2"/>
      </w:pPr>
      <w:r>
        <w:t>2.1 Net Open Position Limits</w:t>
      </w:r>
    </w:p>
    <w:p>
      <w:r>
        <w:t>The Bank's aggregate net open position (NOP) in all foreign currencies shall not exceed 25% of the Bank's Tier 1 capital. Individual currency positions shall not exceed 15% of Tier 1 capital. These limits are in accordance with Central Bank Circular No. 2024/FX/003.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Client Type</w:t>
            </w:r>
          </w:p>
        </w:tc>
        <w:tc>
          <w:tcPr>
            <w:tcW w:type="dxa" w:w="2160"/>
          </w:tcPr>
          <w:p>
            <w:r>
              <w:t>Max Single Transaction (USD)</w:t>
            </w:r>
          </w:p>
        </w:tc>
        <w:tc>
          <w:tcPr>
            <w:tcW w:type="dxa" w:w="2160"/>
          </w:tcPr>
          <w:p>
            <w:r>
              <w:t>Daily Limit (USD)</w:t>
            </w:r>
          </w:p>
        </w:tc>
        <w:tc>
          <w:tcPr>
            <w:tcW w:type="dxa" w:w="2160"/>
          </w:tcPr>
          <w:p>
            <w:r>
              <w:t>NOP Limit (% of Tier 1)</w:t>
            </w:r>
          </w:p>
        </w:tc>
      </w:tr>
      <w:tr>
        <w:tc>
          <w:tcPr>
            <w:tcW w:type="dxa" w:w="2160"/>
          </w:tcPr>
          <w:p>
            <w:r>
              <w:t>Corporate</w:t>
            </w:r>
          </w:p>
        </w:tc>
        <w:tc>
          <w:tcPr>
            <w:tcW w:type="dxa" w:w="2160"/>
          </w:tcPr>
          <w:p>
            <w:r>
              <w:t>5,000,000</w:t>
            </w:r>
          </w:p>
        </w:tc>
        <w:tc>
          <w:tcPr>
            <w:tcW w:type="dxa" w:w="2160"/>
          </w:tcPr>
          <w:p>
            <w:r>
              <w:t>20,000,000</w:t>
            </w:r>
          </w:p>
        </w:tc>
        <w:tc>
          <w:tcPr>
            <w:tcW w:type="dxa" w:w="2160"/>
          </w:tcPr>
          <w:p>
            <w:r>
              <w:t>15%</w:t>
            </w:r>
          </w:p>
        </w:tc>
      </w:tr>
      <w:tr>
        <w:tc>
          <w:tcPr>
            <w:tcW w:type="dxa" w:w="2160"/>
          </w:tcPr>
          <w:p>
            <w:r>
              <w:t>SME</w:t>
            </w:r>
          </w:p>
        </w:tc>
        <w:tc>
          <w:tcPr>
            <w:tcW w:type="dxa" w:w="2160"/>
          </w:tcPr>
          <w:p>
            <w:r>
              <w:t>1,000,000</w:t>
            </w:r>
          </w:p>
        </w:tc>
        <w:tc>
          <w:tcPr>
            <w:tcW w:type="dxa" w:w="2160"/>
          </w:tcPr>
          <w:p>
            <w:r>
              <w:t>5,000,000</w:t>
            </w:r>
          </w:p>
        </w:tc>
        <w:tc>
          <w:tcPr>
            <w:tcW w:type="dxa" w:w="2160"/>
          </w:tcPr>
          <w:p>
            <w:r>
              <w:t>10%</w:t>
            </w:r>
          </w:p>
        </w:tc>
      </w:tr>
      <w:tr>
        <w:tc>
          <w:tcPr>
            <w:tcW w:type="dxa" w:w="2160"/>
          </w:tcPr>
          <w:p>
            <w:r>
              <w:t>Retail</w:t>
            </w:r>
          </w:p>
        </w:tc>
        <w:tc>
          <w:tcPr>
            <w:tcW w:type="dxa" w:w="2160"/>
          </w:tcPr>
          <w:p>
            <w:r>
              <w:t>100,000</w:t>
            </w:r>
          </w:p>
        </w:tc>
        <w:tc>
          <w:tcPr>
            <w:tcW w:type="dxa" w:w="2160"/>
          </w:tcPr>
          <w:p>
            <w:r>
              <w:t>500,000</w:t>
            </w:r>
          </w:p>
        </w:tc>
        <w:tc>
          <w:tcPr>
            <w:tcW w:type="dxa" w:w="2160"/>
          </w:tcPr>
          <w:p>
            <w:r>
              <w:t>5%</w:t>
            </w:r>
          </w:p>
        </w:tc>
      </w:tr>
      <w:tr>
        <w:tc>
          <w:tcPr>
            <w:tcW w:type="dxa" w:w="2160"/>
          </w:tcPr>
          <w:p>
            <w:r>
              <w:t>Interbank</w:t>
            </w:r>
          </w:p>
        </w:tc>
        <w:tc>
          <w:tcPr>
            <w:tcW w:type="dxa" w:w="2160"/>
          </w:tcPr>
          <w:p>
            <w:r>
              <w:t>50,000,000</w:t>
            </w:r>
          </w:p>
        </w:tc>
        <w:tc>
          <w:tcPr>
            <w:tcW w:type="dxa" w:w="2160"/>
          </w:tcPr>
          <w:p>
            <w:r>
              <w:t>200,000,000</w:t>
            </w:r>
          </w:p>
        </w:tc>
        <w:tc>
          <w:tcPr>
            <w:tcW w:type="dxa" w:w="2160"/>
          </w:tcPr>
          <w:p>
            <w:r>
              <w:t>25%</w:t>
            </w:r>
          </w:p>
        </w:tc>
      </w:tr>
    </w:tbl>
    <w:p/>
    <w:p>
      <w:pPr>
        <w:pStyle w:val="Heading2"/>
      </w:pPr>
      <w:r>
        <w:t>2.2 Stop-Loss Limits</w:t>
      </w:r>
    </w:p>
    <w:p>
      <w:r>
        <w:t>A stop-loss limit of 2% of the position value shall be applied to all proprietary FX trading positions. If cumulative losses exceed 5% of allocated trading capital in any calendar month, all open proprietary positions must be closed and trading suspended pending management review. This requirement is governed by the Risk Management Framework (see Credit Risk Policy, Section 4.3).</w:t>
      </w:r>
    </w:p>
    <w:p>
      <w:pPr>
        <w:pStyle w:val="Heading1"/>
      </w:pPr>
      <w:r>
        <w:t>3. Authorized Currencies</w:t>
      </w:r>
    </w:p>
    <w:p>
      <w:r>
        <w:t>The Bank is authorized to trade in the following currency pairs: USD/EGP, EUR/EGP, GBP/EGP, SAR/EGP, AED/EGP, JPY/EGP, CHF/EGP. Trading in exotic currency pairs requires prior approval from the Treasury Committee and must comply with Central Bank regulations.</w:t>
      </w:r>
    </w:p>
    <w:p>
      <w:pPr>
        <w:pStyle w:val="Heading1"/>
      </w:pPr>
      <w:r>
        <w:t>4. المتطلبات التنظيمية</w:t>
      </w:r>
    </w:p>
    <w:p>
      <w:r>
        <w:t>يجب أن تتوافق جميع عمليات الصرف الأجنبي مع تعليمات البنك المركزي رقم 2024/FX/003. يتعين على البنك تقديم تقارير NOP يومية إلى البنك المركزي. في حالة تجاوز حد NOP بنسبة 25%، يجب إخطار البنك المركزي خلال 24 ساعة.</w:t>
      </w:r>
    </w:p>
    <w:p>
      <w:pPr>
        <w:pStyle w:val="Heading1"/>
      </w:pPr>
      <w:r>
        <w:t>5. Roles and Responsibilities</w:t>
      </w:r>
    </w:p>
    <w:p>
      <w:r>
        <w:t>The Chief Risk Officer (CRO) is responsible for monitoring FX exposure limits. The Treasury Department executes FX transactions within approved limits. Internal Audit conducts quarterly reviews of FX compliance. The Board Risk Committee receives monthly FX exposure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