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Fraud Prevention and Detection Policy</w:t>
      </w:r>
    </w:p>
    <w:p>
      <w:r>
        <w:t>Document ID: POL-FRD-2025-021</w:t>
      </w:r>
    </w:p>
    <w:p>
      <w:r>
        <w:t>Effective Date: March 1, 2025</w:t>
      </w:r>
    </w:p>
    <w:p>
      <w:pPr>
        <w:pStyle w:val="Heading1"/>
      </w:pPr>
      <w:r>
        <w:t>1. Fraud Risk Assessment</w:t>
      </w:r>
    </w:p>
    <w:p>
      <w:r>
        <w:t>The Fraud Risk Assessment (FRA) is conducted annually by the Operational Risk Unit in coordination with the Fraud Prevention Unit (FPU). The FRA maps fraud typologies to business processes, assigns inherent risk ratings, evaluates control effectiveness, and determines residual risk. Results are reported to the Operational Risk Committee (ORC) and the BACC.</w:t>
      </w:r>
    </w:p>
    <w:p>
      <w:pPr>
        <w:pStyle w:val="Heading1"/>
      </w:pPr>
      <w:r>
        <w:t>2. Fraud Detection Systems</w:t>
      </w:r>
    </w:p>
    <w:p>
      <w:r>
        <w:t>The Bank operates three fraud detection systems: (a) Real-time card fraud detection (managed by PayTech Solutions per Vendor Risk Management Policy), (b) Online banking fraud detection (behavioral analytics engine), (c) Internal fraud monitoring (access pattern anomaly detection per IT Security Policy, Section 5). All systems generate alerts that are triaged by the FPU within 4 hours.</w:t>
      </w:r>
    </w:p>
    <w:p>
      <w:pPr>
        <w:pStyle w:val="Heading1"/>
      </w:pPr>
      <w:r>
        <w:t>3. Fraud Investigation</w:t>
      </w:r>
    </w:p>
    <w:p>
      <w:r>
        <w:t>Confirmed fraud cases are investigated by the FPU in coordination with: Legal Department (for recovery and prosecution), HR Department (for internal fraud disciplinary action per HR Policy Section 5), IT Security (for digital forensics per IT Security Policy Section 4.3), and the MLRO (if fraud indicators overlap with money laundering per AML Policy Section 3.2). Investigation reports are submitted to the BACC.</w:t>
      </w:r>
    </w:p>
    <w:p>
      <w:pPr>
        <w:pStyle w:val="Heading1"/>
      </w:pPr>
      <w:r>
        <w:t>4. Fraud Loss Reporting</w:t>
      </w:r>
    </w:p>
    <w:p>
      <w:r>
        <w:t>Fraud losses are categorized per the Operational Risk Framework loss taxonomy. Losses exceeding EGP 1 million are individually reported to the ORC. Aggregate fraud losses are reported quarterly to the BRC. Annual fraud loss data feeds into the capital adequacy calculation under the Advanced Measurement Approach (AMA) per Capital Adequacy Policy, Section 3. The Central Bank requires notification of fraud losses exceeding EGP 5 million within 48 hours.</w:t>
      </w:r>
    </w:p>
    <w:p>
      <w:pPr>
        <w:pStyle w:val="Heading1"/>
      </w:pPr>
      <w:r>
        <w:t>5. Whistleblower Program</w:t>
      </w:r>
    </w:p>
    <w:p>
      <w:r>
        <w:t>The Bank maintains an anonymous whistleblower hotline managed by the Compliance Department. All reports are investigated within 10 business days. Whistleblowers are protected under the Bank's Non-Retaliation Policy. The CCO reports whistleblower statistics (anonymized) to the BACC quarterly. Substantiated reports involving senior management are escalated directly to the Board Chairman.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