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Corporate Governance and Committee Structure</w:t>
      </w:r>
    </w:p>
    <w:p>
      <w:r>
        <w:t>Document ID: POL-GOV-2025-005</w:t>
      </w:r>
    </w:p>
    <w:p>
      <w:r>
        <w:t>Effective Date: January 1, 2025</w:t>
      </w:r>
    </w:p>
    <w:p>
      <w:pPr>
        <w:pStyle w:val="Heading1"/>
      </w:pPr>
      <w:r>
        <w:t>1. Board of Directors</w:t>
      </w:r>
    </w:p>
    <w:p>
      <w:r>
        <w:t>The Board of Directors consists of 11 members including 4 independent directors. The Board meets at least quarterly and has ultimate oversight responsibility for all risk management activities. The Board delegates operational risk management to the following committees.</w:t>
      </w:r>
    </w:p>
    <w:p>
      <w:pPr>
        <w:pStyle w:val="Heading1"/>
      </w:pPr>
      <w:r>
        <w:t>2. Risk Management Committees</w:t>
      </w:r>
    </w:p>
    <w:p>
      <w:pPr>
        <w:pStyle w:val="Heading2"/>
      </w:pPr>
      <w:r>
        <w:t>2.1 Board Risk Committee (BRC)</w:t>
      </w:r>
    </w:p>
    <w:p>
      <w:r>
        <w:t>The Board Risk Committee consists of 5 Board members (minimum 3 independent). It meets monthly and reviews: aggregate risk exposure reports, risk appetite framework compliance, and capital adequacy assessments. The BRC has authority to impose temporary trading halts on any business unit when risk limits are breached (see FX Policy Section 2.2 and Credit Risk Policy Section 3).</w:t>
      </w:r>
    </w:p>
    <w:p>
      <w:pPr>
        <w:pStyle w:val="Heading2"/>
      </w:pPr>
      <w:r>
        <w:t>2.2 Executive Risk Committee (ERC)</w:t>
      </w:r>
    </w:p>
    <w:p>
      <w:r>
        <w:t>The Executive Risk Committee is chaired by the CEO and includes: CRO, CFO, Chief Compliance Officer (CCO), Head of Treasury, and Head of Credit. It meets weekly and oversees day-to-day risk management. The ERC approves risk limit changes up to 10% of existing limits; changes exceeding 10% require BRC approval.</w:t>
      </w:r>
    </w:p>
    <w:p>
      <w:pPr>
        <w:pStyle w:val="Heading1"/>
      </w:pPr>
      <w:r>
        <w:t>3. Specialized Committees</w:t>
      </w:r>
    </w:p>
    <w:p>
      <w:pPr>
        <w:pStyle w:val="Heading2"/>
      </w:pPr>
      <w:r>
        <w:t>3.1 Credit Committee Structure</w:t>
      </w:r>
    </w:p>
    <w:p>
      <w:r>
        <w:t>Credit approval follows a tiered committee structure: Branch Credit Committee (up to EGP 5M), Regional Credit Committee (up to EGP 25M), Head Office Credit Committee (up to EGP 100M), Board of Directors (above EGP 100M). See Credit Risk Policy Section 2.1 for detailed approval matrix and conditions.</w:t>
      </w:r>
    </w:p>
    <w:p>
      <w:pPr>
        <w:pStyle w:val="Heading2"/>
      </w:pPr>
      <w:r>
        <w:t>3.2 Compliance Committee</w:t>
      </w:r>
    </w:p>
    <w:p>
      <w:r>
        <w:t>The Compliance Committee is chaired by the CCO and includes: MLRO, Head of Legal, Head of Internal Audit, and a Board-appointed independent member. It meets bi-weekly and oversees: AML/CTF compliance (see AML Policy), sanctions screening, regulatory reporting, and customer complaints. The Compliance Committee reports to the BRC.</w:t>
      </w:r>
    </w:p>
    <w:p>
      <w:pPr>
        <w:pStyle w:val="Heading2"/>
      </w:pPr>
      <w:r>
        <w:t>3.3 Treasury Committee</w:t>
      </w:r>
    </w:p>
    <w:p>
      <w:r>
        <w:t>The Treasury Committee is chaired by the Head of Treasury and includes: CRO, CFO, and Head of Market Risk. It meets daily for FX position reviews and weekly for ALM reviews. The Treasury Committee has authority to approve exotic currency pair trading (see FX Policy Section 3) and manages the Bank's liquidity buffer requirements.</w:t>
      </w:r>
    </w:p>
    <w:p>
      <w:pPr>
        <w:pStyle w:val="Heading1"/>
      </w:pPr>
      <w:r>
        <w:t>4. Chief Risk Officer (CRO) Mandate</w:t>
      </w:r>
    </w:p>
    <w:p>
      <w:r>
        <w:t>The CRO has a dual reporting line: operationally to the CEO and functionally to the BRC Chair. The CRO's mandate includes: (a) oversight of credit, market, operational, and liquidity risk, (b) ultimate authority over risk limit setting subject to BRC approval, (c) AML/CTF compliance oversight (delegated from the Board), (d) quarterly risk appetite review, and (e) veto power on transactions exceeding 50% of any risk limit.</w:t>
      </w:r>
    </w:p>
    <w:p>
      <w:pPr>
        <w:pStyle w:val="Heading1"/>
      </w:pPr>
      <w:r>
        <w:t>5. Escalation Chain</w:t>
      </w:r>
    </w:p>
    <w:p>
      <w:r>
        <w:t>Risk events must be escalated through the following chain: Line Manager → Department Head → relevant Committee → ERC → BRC → Board of Directors. Critical events (fraud, regulatory breach, loss &gt;EGP 10M) skip directly to ERC and BRC. The CRO has authority to invoke emergency escalation at any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