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Resources and Training Policy</w:t>
      </w:r>
    </w:p>
    <w:p>
      <w:r>
        <w:t>Document ID: POL-HR-2025-013</w:t>
      </w:r>
    </w:p>
    <w:p>
      <w:r>
        <w:t>Effective Date: January 1, 2025</w:t>
      </w:r>
    </w:p>
    <w:p>
      <w:pPr>
        <w:pStyle w:val="Heading1"/>
      </w:pPr>
      <w:r>
        <w:t>1. Mandatory Training Requirements</w:t>
      </w:r>
    </w:p>
    <w:p>
      <w:r>
        <w:t>All employees must complete the following annual training modules: (a) AML/CTF awareness (aligned with AML Policy Section 2 and 3), (b) Information Security awareness (per IT Security Policy Section 3), (c) Code of Conduct and Ethics, (d) Data Privacy (per Data Governance Policy Section 4). Training completion is tracked in the HR Management System (HRMS) and reported quarterly to the Board Governance Committee.</w:t>
      </w:r>
    </w:p>
    <w:p>
      <w:pPr>
        <w:pStyle w:val="Heading1"/>
      </w:pPr>
      <w:r>
        <w:t>2. Specialized Training</w:t>
      </w:r>
    </w:p>
    <w:p>
      <w:pPr>
        <w:pStyle w:val="Heading2"/>
      </w:pPr>
      <w:r>
        <w:t>2.1 Treasury and Trading Staff</w:t>
      </w:r>
    </w:p>
    <w:p>
      <w:r>
        <w:t>Staff assigned to the Treasury Department (including the FX Trading Desk, Money Market Desk, and Investment Securities Desk) must complete: (a) Market risk management certification within 6 months of appointment, (b) Annual refresher on FX regulations and NOP limits, (c) Bloomberg Terminal proficiency assessment. The Chief Treasury Officer certifies completion to HR.</w:t>
      </w:r>
    </w:p>
    <w:p>
      <w:pPr>
        <w:pStyle w:val="Heading2"/>
      </w:pPr>
      <w:r>
        <w:t>2.2 Risk and Compliance Staff</w:t>
      </w:r>
    </w:p>
    <w:p>
      <w:r>
        <w:t>Risk and compliance professionals must maintain relevant certifications (FRM, CFA, CAMS, or equivalent). The Bank sponsors certification fees. Staff failing to maintain certifications within 12 months of expiry are reassigned per the Performance Management framework.</w:t>
      </w:r>
    </w:p>
    <w:p>
      <w:pPr>
        <w:pStyle w:val="Heading1"/>
      </w:pPr>
      <w:r>
        <w:t>3. Fit and Proper Requirements</w:t>
      </w:r>
    </w:p>
    <w:p>
      <w:r>
        <w:t>Senior management positions (C-suite, department heads, committee members) are subject to Central Bank fit-and-proper requirements. Background checks include: criminal record verification, credit history review, reference checks from previous employers, and verification of educational credentials. The Board Nomination Committee approves all senior appointments.</w:t>
      </w:r>
    </w:p>
    <w:p>
      <w:pPr>
        <w:pStyle w:val="Heading1"/>
      </w:pPr>
      <w:r>
        <w:t>4. Succession Planning</w:t>
      </w:r>
    </w:p>
    <w:p>
      <w:r>
        <w:t>The Board Governance Committee oversees succession planning for all Key Management Personnel (KMP). KMP includes: CEO, CFO, CRO, CCO, CTO, Head of Internal Audit, and MLRO. Each KMP position must have at least two identified successors who receive targeted development. Succession plans are reviewed annually and reported to the Board of Directors.</w:t>
      </w:r>
    </w:p>
    <w:p>
      <w:pPr>
        <w:pStyle w:val="Heading1"/>
      </w:pPr>
      <w:r>
        <w:t>5. Conflict of Interest Management</w:t>
      </w:r>
    </w:p>
    <w:p>
      <w:r>
        <w:t>Employees must disclose potential conflicts of interest annually via the COI Declaration Form in the HRMS. Trading desk employees are prohibited from personal trading in instruments covered by their desk without prior written approval from the CCO and their line manager. Violations are subject to disciplinary action per Section 8 of the Employee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