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IFRS 9 Expected Credit Loss (ECL) Policy</w:t>
      </w:r>
    </w:p>
    <w:p>
      <w:r>
        <w:t>Document ID: POL-ECL-2025-023</w:t>
      </w:r>
    </w:p>
    <w:p>
      <w:r>
        <w:t>Effective Date: January 1, 2025</w:t>
      </w:r>
    </w:p>
    <w:p>
      <w:pPr>
        <w:pStyle w:val="Heading1"/>
      </w:pPr>
      <w:r>
        <w:t>1. ECL Governance</w:t>
      </w:r>
    </w:p>
    <w:p>
      <w:r>
        <w:t>The ECL governance framework involves: (a) the Board Audit and Compliance Committee (BACC) approves the ECL methodology, (b) the CFO owns the ECL calculation process, (c) the Model Risk Committee (per Model Risk Management Policy) validates the ECL models, (d) Internal Audit provides independent assurance (per Internal Audit Charter). The Credit Risk Unit supplies the credit data inputs.</w:t>
      </w:r>
    </w:p>
    <w:p>
      <w:pPr>
        <w:pStyle w:val="Heading1"/>
      </w:pPr>
      <w:r>
        <w:t>2. Staging Criteria</w:t>
      </w:r>
    </w:p>
    <w:p>
      <w:r>
        <w:t>Stage 1 (12-month ECL): performing assets with no significant increase in credit risk (SICR). Stage 2 (lifetime ECL): assets with SICR, defined as: 30+ days past due, 2+ notch downgrade in internal rating, or qualitative indicators (restructured, watch-listed). Stage 3 (credit impaired): 90+ days past due, or in default per the Credit Risk Policy default definition (Section 5.1).</w:t>
      </w:r>
    </w:p>
    <w:p>
      <w:pPr>
        <w:pStyle w:val="Heading1"/>
      </w:pPr>
      <w:r>
        <w:t>3. ECL Model Components</w:t>
      </w:r>
    </w:p>
    <w:p>
      <w:r>
        <w:t>ECL = PD × LGD × EAD. Probability of Default (PD) models use logistic regression calibrated on 5 years of internal data. Loss Given Default (LGD) uses recovery rate analysis. Exposure at Default (EAD) uses credit conversion factors per the Capital Adequacy Policy. Forward-looking adjustments incorporate three macroeconomic scenarios: baseline (50% weight), upside (25%), and downside (25%). GDP growth, unemployment rate, and interest rates are the key macro variables.</w:t>
      </w:r>
    </w:p>
    <w:p>
      <w:pPr>
        <w:pStyle w:val="Heading1"/>
      </w:pPr>
      <w:r>
        <w:t>4. Significant Judgments</w:t>
      </w:r>
    </w:p>
    <w:p>
      <w:r>
        <w:t>Key judgments requiring senior management approval: (a) SICR threshold calibration — reviewed semi-annually by the Credit Risk Committee, (b) Forward-looking scenario weights — approved by ALCO, (c) Post-model adjustments (management overlays) — individually justified and approved by CFO for amounts below EGP 50 million and by the BACC for larger amounts, (d) Sector-wide staging overrides — approved by the Credit Risk Committee and reported to the BRC.</w:t>
      </w:r>
    </w:p>
    <w:p>
      <w:pPr>
        <w:pStyle w:val="Heading1"/>
      </w:pPr>
      <w:r>
        <w:t>5. ECL Reporting</w:t>
      </w:r>
    </w:p>
    <w:p>
      <w:r>
        <w:t>Monthly ECL calculations are reviewed by the CFO and Head of Risk Analytics. Quarterly ECL results are presented to the BACC with: stage migration analysis, top 20 individual ECL exposures, sector concentration analysis, and macro scenario sensitivity. External auditors review the ECL calculation semi-annually. IFRS 9 disclosures in financial statements follow the Central Bank disclosure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