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Technology and Cybersecurity Policy</w:t>
      </w:r>
    </w:p>
    <w:p>
      <w:r>
        <w:t>Document ID: POL-IT-2025-008</w:t>
      </w:r>
    </w:p>
    <w:p>
      <w:r>
        <w:t>Effective Date: March 1, 2025</w:t>
      </w:r>
    </w:p>
    <w:p>
      <w:pPr>
        <w:pStyle w:val="Heading1"/>
      </w:pPr>
      <w:r>
        <w:t>1. Scope</w:t>
      </w:r>
    </w:p>
    <w:p>
      <w:r>
        <w:t>This policy covers all information technology systems, cybersecurity controls, and digital assets of the Bank. It applies to all employees, contractors, and third-party service providers with access to Bank systems. The IT Department is the primary Control Owner for system-related operational risks (see Operational Risk Framework, Section 2).</w:t>
      </w:r>
    </w:p>
    <w:p>
      <w:pPr>
        <w:pStyle w:val="Heading1"/>
      </w:pPr>
      <w:r>
        <w:t>2. Core Banking System Security</w:t>
      </w:r>
    </w:p>
    <w:p>
      <w:r>
        <w:t>The Core Banking System (CBS) processes all customer transactions including deposits, loans, and FX transactions. Access to CBS is role-based with the following privilege levels: Level 1 (View Only): branch staff without approval authority. Level 2 (Transaction): staff authorized for transactions up to their approval limit as defined in the Credit Risk Policy (Section 2.1) and FX Policy (Section 2). Level 3 (Admin): IT administrators only, requires dual authorization.</w:t>
      </w:r>
    </w:p>
    <w:p>
      <w:pPr>
        <w:pStyle w:val="Heading1"/>
      </w:pPr>
      <w:r>
        <w:t>3. Transaction Monitoring System</w:t>
      </w:r>
    </w:p>
    <w:p>
      <w:r>
        <w:t>The Transaction Monitoring System (TMS) is the Bank's primary AML detection tool. It processes all transactions in real-time and applies rule-based and ML-based detection algorithms. The TMS thresholds are configured as per AML Policy Section 3.1: cash transactions above EGP 300,000 and aggregate transactions above EGP 500,000 in 30 days. TMS alerts are routed to the MLRO through the Compliance workflow system.</w:t>
      </w:r>
    </w:p>
    <w:p>
      <w:pPr>
        <w:pStyle w:val="Heading1"/>
      </w:pPr>
      <w:r>
        <w:t>4. Cybersecurity Incident Response</w:t>
      </w:r>
    </w:p>
    <w:p>
      <w:pPr>
        <w:pStyle w:val="Heading2"/>
      </w:pPr>
      <w:r>
        <w:t>4.1 Classification</w:t>
      </w:r>
    </w:p>
    <w:p>
      <w:r>
        <w:t>Security incidents are classified into four severity levels: P1 (Critical): Active data breach or ransomware affecting production systems. P2 (High): Unauthorized access detected, potential data exposure. P3 (Medium): Malware detected on internal network, contained. P4 (Low): Policy violation, phishing attempt blocked.</w:t>
      </w:r>
    </w:p>
    <w:p>
      <w:pPr>
        <w:pStyle w:val="Heading2"/>
      </w:pPr>
      <w:r>
        <w:t>4.2 Escalation and Notification</w:t>
      </w:r>
    </w:p>
    <w:p>
      <w:r>
        <w:t>P1 incidents must be reported to the CRO within 1 hour and to the Board Risk Committee within 4 hours. P1 and P2 incidents affecting customer data must be reported to the Central Bank within 24 hours as per Operational Risk Framework Section 3. IF a cybersecurity incident results in financial loss exceeding EGP 500,000, THEN it must also be reported through the operational risk incident process (Operational Risk Framework, Section 3).</w:t>
      </w:r>
    </w:p>
    <w:p>
      <w:pPr>
        <w:pStyle w:val="Heading1"/>
      </w:pPr>
      <w:r>
        <w:t>5. Third-Party Risk</w:t>
      </w:r>
    </w:p>
    <w:p>
      <w:r>
        <w:t>All third-party technology vendors must undergo security assessment before onboarding. Cloud service providers must maintain SOC 2 Type II certification. Third-party access to Bank data is governed by the Data Governance Policy (POL-DG-2025-009). Outsourcing of critical IT functions requires Board Risk Committee approval (see Governance Policy, Section 2.1).</w:t>
      </w:r>
    </w:p>
    <w:p>
      <w:pPr>
        <w:pStyle w:val="Heading1"/>
      </w:pPr>
      <w:r>
        <w:t>6. Business Continuity for IT Systems</w:t>
      </w:r>
    </w:p>
    <w:p>
      <w:r>
        <w:t>The Bank maintains a secondary data center with real-time replication. Recovery Time Objective (RTO) for critical systems: 4 hours. Recovery Point Objective (RPO): 1 hour. IT business continuity is a component of the overarching BCM plan owned by the BCM Team (see Operational Risk Framework, Section 2 - Business Continuity category). Annual DR tests are reported to the Board Risk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