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Audit Charter</w:t>
      </w:r>
    </w:p>
    <w:p>
      <w:r>
        <w:t>Document ID: POL-IA-2025-010</w:t>
      </w:r>
    </w:p>
    <w:p>
      <w:r>
        <w:t>Effective Date: January 1, 2025</w:t>
      </w:r>
    </w:p>
    <w:p>
      <w:pPr>
        <w:pStyle w:val="Heading1"/>
      </w:pPr>
      <w:r>
        <w:t>1. Independence and Authority</w:t>
      </w:r>
    </w:p>
    <w:p>
      <w:r>
        <w:t>The Internal Audit function reports functionally to the Board Audit Committee and administratively to the CEO. The Head of Internal Audit has unrestricted access to all Bank records, personnel, and physical properties. Internal Audit operates independently from management and the three lines of defense model.</w:t>
      </w:r>
    </w:p>
    <w:p>
      <w:pPr>
        <w:pStyle w:val="Heading1"/>
      </w:pPr>
      <w:r>
        <w:t>2. Audit Scope</w:t>
      </w:r>
    </w:p>
    <w:p>
      <w:pPr>
        <w:pStyle w:val="Heading2"/>
      </w:pPr>
      <w:r>
        <w:t>2.1 Credit Risk Audit</w:t>
      </w:r>
    </w:p>
    <w:p>
      <w:r>
        <w:t>Annual audit of credit risk management covering: loan origination compliance with the Credit Risk Policy (POL-CR-2025-002), approval authority adherence (Section 2.1), collateral valuation accuracy (Section 4.1), and IFRS 9 provisioning adequacy (Section 5). Findings are reported to the Board Risk Committee and the Head Office Credit Committee.</w:t>
      </w:r>
    </w:p>
    <w:p>
      <w:pPr>
        <w:pStyle w:val="Heading2"/>
      </w:pPr>
      <w:r>
        <w:t>2.2 FX Operations Audit</w:t>
      </w:r>
    </w:p>
    <w:p>
      <w:r>
        <w:t>Quarterly audit of FX operations covering: compliance with exposure limits (FX Policy, Section 2), authorized currency pairs (FX Policy, Section 3), stop-loss monitoring (FX Policy, Section 2.2), and NOP reporting accuracy. FX audit results are shared with the Treasury Committee and the CRO.</w:t>
      </w:r>
    </w:p>
    <w:p>
      <w:pPr>
        <w:pStyle w:val="Heading2"/>
      </w:pPr>
      <w:r>
        <w:t>2.3 AML/CTF Audit</w:t>
      </w:r>
    </w:p>
    <w:p>
      <w:r>
        <w:t>Semi-annual audit of AML controls covering: CDD/EDD compliance (AML Policy, Section 2), TMS configuration and effectiveness (AML Policy, Section 3), sanctions screening accuracy (AML Policy, Section 4), and STR filing timeliness. The MLRO must provide responses to all findings within 15 business days.</w:t>
      </w:r>
    </w:p>
    <w:p>
      <w:pPr>
        <w:pStyle w:val="Heading2"/>
      </w:pPr>
      <w:r>
        <w:t>2.4 IT and Cybersecurity Audit</w:t>
      </w:r>
    </w:p>
    <w:p>
      <w:r>
        <w:t>Annual audit of IT controls covering: access management (IT Security Policy, Section 2), TMS system integrity (IT Security Policy, Section 3), incident response preparedness (IT Security Policy, Section 4), and DR testing results (IT Security Policy, Section 6). Critical IT findings are escalated directly to the Board Risk Committee.</w:t>
      </w:r>
    </w:p>
    <w:p>
      <w:pPr>
        <w:pStyle w:val="Heading1"/>
      </w:pPr>
      <w:r>
        <w:t>3. Audit Committee Reporting</w:t>
      </w:r>
    </w:p>
    <w:p>
      <w:r>
        <w:t>The Head of Internal Audit presents a quarterly report to the Board Audit Committee covering: audit plan execution status, significant findings, management action plans, and overdue remediation items. High-risk findings that remain unresolved for more than 90 days are automatically escalated to the Board of Directors through the BRC (see Governance Policy, Section 5 - Escalation Chain).</w:t>
      </w:r>
    </w:p>
    <w:p>
      <w:pPr>
        <w:pStyle w:val="Heading1"/>
      </w:pPr>
      <w:r>
        <w:t>4. Coordination with External Audit</w:t>
      </w:r>
    </w:p>
    <w:p>
      <w:r>
        <w:t>Internal Audit coordinates with the external auditor to avoid duplication and ensure comprehensive coverage. The external auditor relies on Internal Audit work for: IFRS 9 provisioning testing, IT general controls testing, and regulatory compliance sampling. The external auditor's management letter findings are tracked alongside internal audit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