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Investment Policy and Portfolio Management</w:t>
      </w:r>
    </w:p>
    <w:p>
      <w:r>
        <w:t>Document ID: POL-INV-2025-016</w:t>
      </w:r>
    </w:p>
    <w:p>
      <w:r>
        <w:t>Effective Date: January 1, 2025</w:t>
      </w:r>
    </w:p>
    <w:p>
      <w:pPr>
        <w:pStyle w:val="Heading1"/>
      </w:pPr>
      <w:r>
        <w:t>1. Investment Governance</w:t>
      </w:r>
    </w:p>
    <w:p>
      <w:r>
        <w:t>The Bank's investment portfolio is governed by the Asset and Liability Committee (ALCO), which sets the strategic asset allocation. The ALCO meets monthly and is chaired by the CEO with membership including CFO, CRO, CTO (Chief Treasury Officer), and Head of Risk Analytics. Investment decisions exceeding USD 50 million require Board approval via the Board Finance Committee.</w:t>
      </w:r>
    </w:p>
    <w:p>
      <w:pPr>
        <w:pStyle w:val="Heading1"/>
      </w:pPr>
      <w:r>
        <w:t>2. Eligible Instruments</w:t>
      </w:r>
    </w:p>
    <w:p>
      <w:r>
        <w:t>The Bank may invest in: (a) Egyptian government securities (T-bills, T-bonds), (b) Central Bank certificates of deposit, (c) Investment-grade corporate bonds (minimum rating BBB- from Fitch/S&amp;P or Baa3 from Moody's), (d) Listed equities (maximum 10% of portfolio), (e) Sukuk and Islamic financial instruments for the Islamic banking window. Prohibited instruments include: derivatives for speculation, cryptocurrency, unrated securities, and structured products without Board Finance Committee approval.</w:t>
      </w:r>
    </w:p>
    <w:p>
      <w:pPr>
        <w:pStyle w:val="Heading1"/>
      </w:pPr>
      <w:r>
        <w:t>3. Concentration Limits</w:t>
      </w:r>
    </w:p>
    <w:p>
      <w:r>
        <w:t>Single issuer exposure must not exceed 15% of Tier-1 capital (excluding sovereign). Sector concentration must not exceed 25% of the investment portfolio. Country risk limits for non-domestic investments are set by the Board Risk Committee based on the Country Risk Assessment maintained by the Credit Risk Unit (per Credit Risk Policy, Section 7).</w:t>
      </w:r>
    </w:p>
    <w:p>
      <w:pPr>
        <w:pStyle w:val="Heading1"/>
      </w:pPr>
      <w:r>
        <w:t>4. Portfolio Limits and Thresholds</w:t>
      </w:r>
    </w:p>
    <w:p>
      <w:pPr>
        <w:pStyle w:val="Heading2"/>
      </w:pPr>
      <w:r>
        <w:t>4.1 Duration Limits</w:t>
      </w:r>
    </w:p>
    <w:p>
      <w:r>
        <w:t>The average portfolio duration must remain within +/- 1 year of the benchmark set by ALCO. Individual security duration must not exceed 10 years. Duration deviations exceeding +/- 0.5 years from the benchmark require CTO approval; deviations exceeding +/- 1 year require ALCO approval.</w:t>
      </w:r>
    </w:p>
    <w:p>
      <w:pPr>
        <w:pStyle w:val="Heading2"/>
      </w:pPr>
      <w:r>
        <w:t>4.2 Loss Limits</w:t>
      </w:r>
    </w:p>
    <w:p>
      <w:r>
        <w:t>Mark-to-market losses on the trading book exceeding 2% of portfolio value in any month trigger a mandatory review by the Market Risk Unit. Losses exceeding 5% require ALCO emergency meeting. Losses exceeding 8% trigger the Investment Stop-Loss Protocol: all new purchases are frozen and existing positions may only be unwound, subject to CFO and CRO approval. The Board Risk Committee is notified within 24 hours of any stop-loss activation.</w:t>
      </w:r>
    </w:p>
    <w:p>
      <w:pPr>
        <w:pStyle w:val="Heading1"/>
      </w:pPr>
      <w:r>
        <w:t>5. Performance Measurement</w:t>
      </w:r>
    </w:p>
    <w:p>
      <w:r>
        <w:t>Investment performance is benchmarked against: Egyptian T-bill yield curve for local currency fixed income, and LIBOR/SOFR + spread for FCY investments. Monthly attribution reports are prepared by the Risk Analytics Unit and presented to ALCO. Annual portfolio performance is reported to the Board Finance Committee.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