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Liquidity Risk Management Policy</w:t>
      </w:r>
    </w:p>
    <w:p>
      <w:r>
        <w:t>Document ID: POL-LR-2025-006</w:t>
      </w:r>
    </w:p>
    <w:p>
      <w:r>
        <w:t>Effective Date: February 1, 2025</w:t>
      </w:r>
    </w:p>
    <w:p>
      <w:pPr>
        <w:pStyle w:val="Heading1"/>
      </w:pPr>
      <w:r>
        <w:t>1. Purpose</w:t>
      </w:r>
    </w:p>
    <w:p>
      <w:r>
        <w:t>This policy establishes the Bank's framework for managing liquidity risk to ensure the Bank can meet all financial obligations as they fall due under both normal and stressed conditions. It complements the Capital Adequacy Policy (POL-CA-2025-007) and must be read in conjunction with the FX Policy for foreign currency liquidity management.</w:t>
      </w:r>
    </w:p>
    <w:p>
      <w:pPr>
        <w:pStyle w:val="Heading1"/>
      </w:pPr>
      <w:r>
        <w:t>2. Liquidity Ratios</w:t>
      </w:r>
    </w:p>
    <w:p>
      <w:pPr>
        <w:pStyle w:val="Heading2"/>
      </w:pPr>
      <w:r>
        <w:t>2.1 Liquidity Coverage Ratio (LCR)</w:t>
      </w:r>
    </w:p>
    <w:p>
      <w:r>
        <w:t>The Bank must maintain a Liquidity Coverage Ratio (LCR) of at least 100% at all times. The LCR is calculated as: High Quality Liquid Assets (HQLA) / Total Net Cash Outflows over 30 days. The Treasury Department (see Governance Policy, Section 3.3) is responsible for daily LCR monitoring and reporting.</w:t>
      </w:r>
    </w:p>
    <w:p>
      <w:pPr>
        <w:pStyle w:val="Heading2"/>
      </w:pPr>
      <w:r>
        <w:t>2.2 Net Stable Funding Ratio (NSFR)</w:t>
      </w:r>
    </w:p>
    <w:p>
      <w:r>
        <w:t>The Net Stable Funding Ratio must be maintained above 100%. Available Stable Funding must exceed Required Stable Funding at all times. NSFR is reported monthly to the Board Risk Committee (see Governance Policy, Section 2.1).</w:t>
      </w:r>
    </w:p>
    <w:p>
      <w:pPr>
        <w:pStyle w:val="Heading1"/>
      </w:pPr>
      <w:r>
        <w:t>3. Foreign Currency Liquidity</w:t>
      </w:r>
    </w:p>
    <w:p>
      <w:r>
        <w:t>Foreign currency liquidity must be managed separately for each significant currency. The Bank must maintain a minimum FX liquidity buffer equal to 15% of FX liabilities. FX liquidity positions are subject to the Net Open Position limits defined in the FX Policy (Section 2.1). IF the FX liquidity buffer falls below 20%, THEN the Treasury Committee must convene an emergency meeting within 4 hours.</w:t>
      </w:r>
    </w:p>
    <w:p>
      <w:pPr>
        <w:pStyle w:val="Heading1"/>
      </w:pPr>
      <w:r>
        <w:t>4. Stress Testing</w:t>
      </w:r>
    </w:p>
    <w:p>
      <w:r>
        <w:t>Liquidity stress tests must be conducted monthly using three scenarios: (a) idiosyncratic stress (bank-specific), (b) market-wide stress, (c) combined stress. Stress test results must demonstrate survival for at least 30 days under the combined scenario. IF any stress scenario shows a liquidity shortfall, THEN the Contingency Funding Plan must be activated (see Section 5) and the CRO must notify the Board Risk Committee.</w:t>
      </w:r>
    </w:p>
    <w:p>
      <w:pPr>
        <w:pStyle w:val="Heading1"/>
      </w:pPr>
      <w:r>
        <w:t>5. Contingency Funding Plan (CFP)</w:t>
      </w:r>
    </w:p>
    <w:p>
      <w:r>
        <w:t>The CFP defines actions to be taken in a liquidity crisis: Stage 1 (Early Warning): LCR drops below 120% → Treasury Committee convenes, activates monitoring. Stage 2 (Elevated Risk): LCR drops below 110% → ERC notifies BRC, asset liquidation options reviewed. Stage 3 (Crisis): LCR drops below 100% → Board convenes, Central Bank notified, emergency asset sales authorized. Each stage requires specific credit facility adjustments as defined in the Credit Risk Policy (Section 3 - Concentration Limits).</w:t>
      </w:r>
    </w:p>
    <w:p>
      <w:pPr>
        <w:pStyle w:val="Heading1"/>
      </w:pPr>
      <w:r>
        <w:t>6. متطلبات السيولة بالعملة المحلية</w:t>
      </w:r>
    </w:p>
    <w:p>
      <w:r>
        <w:t>يجب على البنك الحفاظ على نسبة سيولة بالعملة المحلية لا تقل عن 20% من إجمالي الودائع بالجنيه المصري. يتم احتساب هذه النسبة يومياً وتقديمها إلى البنك المركزي أسبوعياً. في حالة انخفاض النسبة عن 25%، يتم تفعيل إجراءات الإنذار المبكر.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