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Risk Management Framework</w:t>
      </w:r>
    </w:p>
    <w:p>
      <w:r>
        <w:t>Document ID: FRM-MKT-2025-018</w:t>
      </w:r>
    </w:p>
    <w:p>
      <w:r>
        <w:t>Effective Date: January 1, 2025</w:t>
      </w:r>
    </w:p>
    <w:p>
      <w:pPr>
        <w:pStyle w:val="Heading1"/>
      </w:pPr>
      <w:r>
        <w:t>1. Market Risk Organization</w:t>
      </w:r>
    </w:p>
    <w:p>
      <w:r>
        <w:t>The Market Risk Unit (MRU) operates within the Risk Management Department, reporting to the CRO. The MRU is independent from the Treasury Department and has authority to set and monitor all market risk limits. The Head of MRU has direct access to the Board Risk Committee (BRC) for escalation purposes.</w:t>
      </w:r>
    </w:p>
    <w:p>
      <w:pPr>
        <w:pStyle w:val="Heading1"/>
      </w:pPr>
      <w:r>
        <w:t>2. Value at Risk (VaR) Framework</w:t>
      </w:r>
    </w:p>
    <w:p>
      <w:pPr>
        <w:pStyle w:val="Heading2"/>
      </w:pPr>
      <w:r>
        <w:t>2.1 VaR Methodology</w:t>
      </w:r>
    </w:p>
    <w:p>
      <w:r>
        <w:t>The Bank uses Historical Simulation VaR with a 99% confidence level and 1-day holding period for daily risk monitoring. A 10-day VaR is calculated for regulatory reporting. The observation window is 250 business days. Stressed VaR uses the 2008-2009 financial crisis period and the 2023 Egyptian pound devaluation period.</w:t>
      </w:r>
    </w:p>
    <w:p>
      <w:pPr>
        <w:pStyle w:val="Heading2"/>
      </w:pPr>
      <w:r>
        <w:t>2.2 VaR Limits</w:t>
      </w:r>
    </w:p>
    <w:p>
      <w:r>
        <w:t>VaR limits are set by the BRC annually. The aggregate 1-day VaR limit is USD 5 million. Desk-level limits are: FX Trading Desk — USD 2 million, Fixed Income Desk — USD 2.5 million, Equities Desk — USD 0.5 million. Any VaR utilization exceeding 80% of the limit triggers an amber alert to the CRO. Utilization exceeding 100% requires immediate position reduction and CRO approval to maintain positions.</w:t>
      </w:r>
    </w:p>
    <w:p>
      <w:pPr>
        <w:pStyle w:val="Heading1"/>
      </w:pPr>
      <w:r>
        <w:t>3. FX Risk Specifics</w:t>
      </w:r>
    </w:p>
    <w:p>
      <w:r>
        <w:t>FX risk is managed through: (a) Net Open Position limits per currency pair (as defined in FX Policy, Section 4), (b) Intraday and overnight position limits, (c) Stop-loss triggers at 2% of position value. The daily FX risk report includes: NOP by currency, VaR contribution by FX desk, stress test results, and P&amp;L attribution. This report is sent to: CRO, CTO, Treasury Head, and ALCO members by 17:00 daily.</w:t>
      </w:r>
    </w:p>
    <w:p>
      <w:pPr>
        <w:pStyle w:val="Heading1"/>
      </w:pPr>
      <w:r>
        <w:t>4. Interest Rate Risk in the Banking Book (IRRBB)</w:t>
      </w:r>
    </w:p>
    <w:p>
      <w:r>
        <w:t>IRRBB is measured using: (a) Net Interest Income (NII) sensitivity to +/- 200bps shock, (b) Economic Value of Equity (EVE) sensitivity to +/- 200bps shock. The Board-approved limits are: NII impact must not exceed 10% of projected annual NII, EVE impact must not exceed 15% of Tier-1 capital. IRRBB results are reported to ALCO monthly and BRC quarterly.</w:t>
      </w:r>
    </w:p>
    <w:p>
      <w:pPr>
        <w:pStyle w:val="Heading1"/>
      </w:pPr>
      <w:r>
        <w:t>5. Stress Testing</w:t>
      </w:r>
    </w:p>
    <w:p>
      <w:r>
        <w:t>Market risk stress testing is conducted monthly for desk-level scenarios and quarterly for bank-wide scenarios. Bank-wide scenarios include: (a) Egyptian pound devaluation of 20%, (b) Interest rate rise of 500bps, (c) Equity market decline of 30%, (d) Combined stress. Stress test results are reviewed by the CRO and presented to the BRC. If any stress scenario shows losses exceeding 20% of the capital buffer, the BRC must approve a remediation plan within 30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