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Risk Management Policy</w:t>
      </w:r>
    </w:p>
    <w:p>
      <w:r>
        <w:t>Document ID: POL-MRM-2025-020</w:t>
      </w:r>
    </w:p>
    <w:p>
      <w:r>
        <w:t>Effective Date: January 1, 2025</w:t>
      </w:r>
    </w:p>
    <w:p>
      <w:pPr>
        <w:pStyle w:val="Heading1"/>
      </w:pPr>
      <w:r>
        <w:t>1. Model Governance</w:t>
      </w:r>
    </w:p>
    <w:p>
      <w:r>
        <w:t>The Bank's model inventory includes: credit scoring models, market risk models (VaR, as described in Market Risk Framework Section 2), operational risk models, ALM models, and AML transaction monitoring models. The Model Risk Committee (MRC), chaired by the CRO, oversees model development, validation, and retirement. The MRC reports to the Board Risk Committee.</w:t>
      </w:r>
    </w:p>
    <w:p>
      <w:pPr>
        <w:pStyle w:val="Heading1"/>
      </w:pPr>
      <w:r>
        <w:t>2. Model Development Standards</w:t>
      </w:r>
    </w:p>
    <w:p>
      <w:r>
        <w:t>All models must be documented following the Model Documentation Template (MDT). Required elements include: purpose and scope, data requirements and quality assessment, methodology description, assumptions and limitations, validation results, and ongoing monitoring plan. Models must be developed independently from the business unit that uses them.</w:t>
      </w:r>
    </w:p>
    <w:p>
      <w:pPr>
        <w:pStyle w:val="Heading1"/>
      </w:pPr>
      <w:r>
        <w:t>3. Model Validation</w:t>
      </w:r>
    </w:p>
    <w:p>
      <w:r>
        <w:t>Independent model validation is performed by the Model Validation Unit within the Risk Management Department. Validation must occur: (a) before initial deployment, (b) annually for all Tier-1 models (credit scoring, VaR, IFRS 9 ECL), (c) upon material changes to model inputs or methodology. Validation reports are submitted to the MRC and archived in the GRC system per the Internal Audit Charter requirements.</w:t>
      </w:r>
    </w:p>
    <w:p>
      <w:pPr>
        <w:pStyle w:val="Heading1"/>
      </w:pPr>
      <w:r>
        <w:t>4. AI and Machine Learning Models</w:t>
      </w:r>
    </w:p>
    <w:p>
      <w:pPr>
        <w:pStyle w:val="Heading2"/>
      </w:pPr>
      <w:r>
        <w:t>4.1 Additional Requirements</w:t>
      </w:r>
    </w:p>
    <w:p>
      <w:r>
        <w:t>AI/ML models are subject to enhanced governance: (a) Explainability assessment — models used for credit decisions must produce human-interpretable explanations, (b) Bias testing — models must be tested for demographic bias before deployment, (c) Drift monitoring — model performance is monitored monthly against baseline metrics, (d) Retraining governance — any retraining requires MRC approval.</w:t>
      </w:r>
    </w:p>
    <w:p>
      <w:pPr>
        <w:pStyle w:val="Heading2"/>
      </w:pPr>
      <w:r>
        <w:t>4.2 Chatbot and NLP Models</w:t>
      </w:r>
    </w:p>
    <w:p>
      <w:r>
        <w:t>Customer-facing AI models (chatbots, virtual assistants) must: (a) clearly identify themselves as AI to customers, (b) escalate to human agents when confidence drops below the threshold defined in the Customer Experience Unit guidelines, (c) not provide investment advice or product recommendations without suitability validation (per Consumer Protection Policy, Section 3), (d) log all interactions for audit trail purposes per Data Governance Policy retention requirements.</w:t>
      </w:r>
    </w:p>
    <w:p>
      <w:pPr>
        <w:pStyle w:val="Heading1"/>
      </w:pPr>
      <w:r>
        <w:t>5. Model Risk Reporting</w:t>
      </w:r>
    </w:p>
    <w:p>
      <w:r>
        <w:t>The CRO presents a quarterly Model Risk Dashboard to the BRC. The dashboard includes: model inventory summary, validation status, performance monitoring alerts, and overdue remediation items. Any model performing outside acceptable parameters for two consecutive months is escalated to the BRC for potential retirement or restriction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