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Operational Risk Management Framework</w:t>
      </w:r>
    </w:p>
    <w:p>
      <w:r>
        <w:t>Document ID: POL-OR-2025-003</w:t>
      </w:r>
    </w:p>
    <w:p>
      <w:r>
        <w:t>Effective Date: March 1, 2025</w:t>
      </w:r>
    </w:p>
    <w:p>
      <w:pPr>
        <w:pStyle w:val="Heading1"/>
      </w:pPr>
      <w:r>
        <w:t>1. Scope</w:t>
      </w:r>
    </w:p>
    <w:p>
      <w:r>
        <w:t>This framework covers all operational risks including process failures, system disruptions, human errors, fraud, and external events. It applies to all Bank departments and subsidiaries.</w:t>
      </w:r>
    </w:p>
    <w:p>
      <w:pPr>
        <w:pStyle w:val="Heading1"/>
      </w:pPr>
      <w:r>
        <w:t>2. Risk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Risk Level</w:t>
            </w:r>
          </w:p>
        </w:tc>
        <w:tc>
          <w:tcPr>
            <w:tcW w:type="dxa" w:w="2160"/>
          </w:tcPr>
          <w:p>
            <w:r>
              <w:t>Control Owner</w:t>
            </w:r>
          </w:p>
        </w:tc>
        <w:tc>
          <w:tcPr>
            <w:tcW w:type="dxa" w:w="2160"/>
          </w:tcPr>
          <w:p>
            <w:r>
              <w:t>Review Frequency</w:t>
            </w:r>
          </w:p>
        </w:tc>
      </w:tr>
      <w:tr>
        <w:tc>
          <w:tcPr>
            <w:tcW w:type="dxa" w:w="2160"/>
          </w:tcPr>
          <w:p>
            <w:r>
              <w:t>Internal Fraud</w:t>
            </w:r>
          </w:p>
        </w:tc>
        <w:tc>
          <w:tcPr>
            <w:tcW w:type="dxa" w:w="2160"/>
          </w:tcPr>
          <w:p>
            <w:r>
              <w:t>High</w:t>
            </w:r>
          </w:p>
        </w:tc>
        <w:tc>
          <w:tcPr>
            <w:tcW w:type="dxa" w:w="2160"/>
          </w:tcPr>
          <w:p>
            <w:r>
              <w:t>Compliance Department</w:t>
            </w:r>
          </w:p>
        </w:tc>
        <w:tc>
          <w:tcPr>
            <w:tcW w:type="dxa" w:w="2160"/>
          </w:tcPr>
          <w:p>
            <w:r>
              <w:t>Monthly</w:t>
            </w:r>
          </w:p>
        </w:tc>
      </w:tr>
      <w:tr>
        <w:tc>
          <w:tcPr>
            <w:tcW w:type="dxa" w:w="2160"/>
          </w:tcPr>
          <w:p>
            <w:r>
              <w:t>External Fraud</w:t>
            </w:r>
          </w:p>
        </w:tc>
        <w:tc>
          <w:tcPr>
            <w:tcW w:type="dxa" w:w="2160"/>
          </w:tcPr>
          <w:p>
            <w:r>
              <w:t>High</w:t>
            </w:r>
          </w:p>
        </w:tc>
        <w:tc>
          <w:tcPr>
            <w:tcW w:type="dxa" w:w="2160"/>
          </w:tcPr>
          <w:p>
            <w:r>
              <w:t>Information Security</w:t>
            </w:r>
          </w:p>
        </w:tc>
        <w:tc>
          <w:tcPr>
            <w:tcW w:type="dxa" w:w="2160"/>
          </w:tcPr>
          <w:p>
            <w:r>
              <w:t>Monthly</w:t>
            </w:r>
          </w:p>
        </w:tc>
      </w:tr>
      <w:tr>
        <w:tc>
          <w:tcPr>
            <w:tcW w:type="dxa" w:w="2160"/>
          </w:tcPr>
          <w:p>
            <w:r>
              <w:t>System Failures</w:t>
            </w:r>
          </w:p>
        </w:tc>
        <w:tc>
          <w:tcPr>
            <w:tcW w:type="dxa" w:w="2160"/>
          </w:tcPr>
          <w:p>
            <w:r>
              <w:t>Medium</w:t>
            </w:r>
          </w:p>
        </w:tc>
        <w:tc>
          <w:tcPr>
            <w:tcW w:type="dxa" w:w="2160"/>
          </w:tcPr>
          <w:p>
            <w:r>
              <w:t>IT Department</w:t>
            </w:r>
          </w:p>
        </w:tc>
        <w:tc>
          <w:tcPr>
            <w:tcW w:type="dxa" w:w="2160"/>
          </w:tcPr>
          <w:p>
            <w:r>
              <w:t>Quarterly</w:t>
            </w:r>
          </w:p>
        </w:tc>
      </w:tr>
      <w:tr>
        <w:tc>
          <w:tcPr>
            <w:tcW w:type="dxa" w:w="2160"/>
          </w:tcPr>
          <w:p>
            <w:r>
              <w:t>Process Errors</w:t>
            </w:r>
          </w:p>
        </w:tc>
        <w:tc>
          <w:tcPr>
            <w:tcW w:type="dxa" w:w="2160"/>
          </w:tcPr>
          <w:p>
            <w:r>
              <w:t>Medium</w:t>
            </w:r>
          </w:p>
        </w:tc>
        <w:tc>
          <w:tcPr>
            <w:tcW w:type="dxa" w:w="2160"/>
          </w:tcPr>
          <w:p>
            <w:r>
              <w:t>Operations Department</w:t>
            </w:r>
          </w:p>
        </w:tc>
        <w:tc>
          <w:tcPr>
            <w:tcW w:type="dxa" w:w="2160"/>
          </w:tcPr>
          <w:p>
            <w:r>
              <w:t>Quarterly</w:t>
            </w:r>
          </w:p>
        </w:tc>
      </w:tr>
      <w:tr>
        <w:tc>
          <w:tcPr>
            <w:tcW w:type="dxa" w:w="2160"/>
          </w:tcPr>
          <w:p>
            <w:r>
              <w:t>Legal &amp; Regulatory</w:t>
            </w:r>
          </w:p>
        </w:tc>
        <w:tc>
          <w:tcPr>
            <w:tcW w:type="dxa" w:w="2160"/>
          </w:tcPr>
          <w:p>
            <w:r>
              <w:t>High</w:t>
            </w:r>
          </w:p>
        </w:tc>
        <w:tc>
          <w:tcPr>
            <w:tcW w:type="dxa" w:w="2160"/>
          </w:tcPr>
          <w:p>
            <w:r>
              <w:t>Legal Department</w:t>
            </w:r>
          </w:p>
        </w:tc>
        <w:tc>
          <w:tcPr>
            <w:tcW w:type="dxa" w:w="2160"/>
          </w:tcPr>
          <w:p>
            <w:r>
              <w:t>Monthly</w:t>
            </w:r>
          </w:p>
        </w:tc>
      </w:tr>
      <w:tr>
        <w:tc>
          <w:tcPr>
            <w:tcW w:type="dxa" w:w="2160"/>
          </w:tcPr>
          <w:p>
            <w:r>
              <w:t>Business Continuity</w:t>
            </w:r>
          </w:p>
        </w:tc>
        <w:tc>
          <w:tcPr>
            <w:tcW w:type="dxa" w:w="2160"/>
          </w:tcPr>
          <w:p>
            <w:r>
              <w:t>High</w:t>
            </w:r>
          </w:p>
        </w:tc>
        <w:tc>
          <w:tcPr>
            <w:tcW w:type="dxa" w:w="2160"/>
          </w:tcPr>
          <w:p>
            <w:r>
              <w:t>BCM Team</w:t>
            </w:r>
          </w:p>
        </w:tc>
        <w:tc>
          <w:tcPr>
            <w:tcW w:type="dxa" w:w="2160"/>
          </w:tcPr>
          <w:p>
            <w:r>
              <w:t>Semi-Annual</w:t>
            </w:r>
          </w:p>
        </w:tc>
      </w:tr>
    </w:tbl>
    <w:p/>
    <w:p>
      <w:pPr>
        <w:pStyle w:val="Heading1"/>
      </w:pPr>
      <w:r>
        <w:t>3. Incident Escalation</w:t>
      </w:r>
    </w:p>
    <w:p>
      <w:r>
        <w:t>IF an operational loss exceeds EGP 500,000, THEN the incident must be reported to the Chief Risk Officer within 4 hours. IF an operational loss exceeds EGP 5,000,000, THEN the incident must be escalated to the Board Risk Committee within 24 hours. IF the incident involves potential fraud, THEN the Compliance Department and Internal Audit must be notified immediately regardless of the loss amount.</w:t>
      </w:r>
    </w:p>
    <w:p>
      <w:pPr>
        <w:pStyle w:val="Heading2"/>
      </w:pPr>
      <w:r>
        <w:t>3.1 إجراءات التصعيد</w:t>
      </w:r>
    </w:p>
    <w:p>
      <w:r>
        <w:t>في حالة تجاوز الخسارة التشغيلية مبلغ 500,000 جنيه مصري، يجب إبلاغ مدير المخاطر التنفيذي خلال 4 ساعات. يجب تسجيل جميع الحوادث التشغيلية في نظام إدارة الحوادث خلال 24 ساعة من اكتشافها.</w:t>
      </w:r>
    </w:p>
    <w:p>
      <w:pPr>
        <w:pStyle w:val="Heading1"/>
      </w:pPr>
      <w:r>
        <w:t>4. Integration with Credit and FX Risk</w:t>
      </w:r>
    </w:p>
    <w:p>
      <w:r>
        <w:t>Operational risk events affecting credit operations must also be assessed under the Credit Risk Policy (POL-CR-2025-002, Section 4.2). FX operational failures must be reported to the Treasury Department as per the FX Policy (POL-FX-2025-001, Section 5). The combined operational and credit loss for any single event shall trigger a comprehensive review if total losses exceed EGP 10,000,000.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