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Outsourcing and Offshoring Policy</w:t>
      </w:r>
    </w:p>
    <w:p>
      <w:r>
        <w:t>Document ID: POL-OUT-2025-022</w:t>
      </w:r>
    </w:p>
    <w:p>
      <w:r>
        <w:t>Effective Date: February 1, 2025</w:t>
      </w:r>
    </w:p>
    <w:p>
      <w:pPr>
        <w:pStyle w:val="Heading1"/>
      </w:pPr>
      <w:r>
        <w:t>1. Outsourcing Governance</w:t>
      </w:r>
    </w:p>
    <w:p>
      <w:r>
        <w:t>The Board of Directors retains ultimate accountability for outsourced activities. The Outsourcing Oversight Committee (OOC), chaired by the COO and including CRO, CTO, and CCO, approves all material outsourcing arrangements. Material outsourcing includes any activity that, if disrupted, would materially impact the Bank's operations, reputation, or regulatory compliance. The OOC reports to the Board Governance Committee quarterly.</w:t>
      </w:r>
    </w:p>
    <w:p>
      <w:pPr>
        <w:pStyle w:val="Heading1"/>
      </w:pPr>
      <w:r>
        <w:t>2. Regulatory Requirements</w:t>
      </w:r>
    </w:p>
    <w:p>
      <w:r>
        <w:t>Per Central Bank Circular 2024/OUT/001, the Bank must: (a) notify the Central Bank 60 days before any material outsourcing, (b) maintain an outsourcing register accessible to supervisors, (c) ensure outsourced activities meet the same standards as if performed internally, (d) retain core management and control functions in-house. Cross-border outsourcing requires additional Board approval and Central Bank notification.</w:t>
      </w:r>
    </w:p>
    <w:p>
      <w:pPr>
        <w:pStyle w:val="Heading1"/>
      </w:pPr>
      <w:r>
        <w:t>3. Core vs Non-Core Activities</w:t>
      </w:r>
    </w:p>
    <w:p>
      <w:r>
        <w:t>Core activities (prohibited from outsourcing): strategic decision-making, risk management oversight, compliance oversight, internal audit, and AML/CTF reporting. Activities with restricted outsourcing (require Board approval): IT infrastructure management, customer data processing, core banking system operations, and payment processing. The classification is reviewed annually by the OOC.</w:t>
      </w:r>
    </w:p>
    <w:p>
      <w:pPr>
        <w:pStyle w:val="Heading1"/>
      </w:pPr>
      <w:r>
        <w:t>4. Performance Monitoring</w:t>
      </w:r>
    </w:p>
    <w:p>
      <w:r>
        <w:t>Outsourced activities are monitored using Key Performance Indicators (KPIs) and Key Risk Indicators (KRIs). SLA breaches are categorized as: Minor (within tolerance), Material (exceeding tolerance), and Critical (service disruption). Material and Critical SLA breaches for Tier-1 vendors trigger escalation per the Vendor Risk Management Policy Section 4 and may activate BCM protocols per the BCM Policy.</w:t>
      </w:r>
    </w:p>
    <w:p>
      <w:pPr>
        <w:pStyle w:val="Heading1"/>
      </w:pPr>
      <w:r>
        <w:t>5. Exit Strategy</w:t>
      </w:r>
    </w:p>
    <w:p>
      <w:r>
        <w:t>Every material outsourcing arrangement must have a documented exit strategy. The exit plan must include: transition timeline (maximum 12 months for critical functions), data migration procedures (per Data Governance Policy), staff augmentation requirements, and fallback arrangements. Exit strategy testing is conducted biennially for Tier-1 vendors. Results are reported to the OOC and the Board Governance Committee.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