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Payment Systems and Settlement Policy</w:t>
      </w:r>
    </w:p>
    <w:p>
      <w:r>
        <w:t>Document ID: POL-PAY-2025-019</w:t>
      </w:r>
    </w:p>
    <w:p>
      <w:r>
        <w:t>Effective Date: February 1, 2025</w:t>
      </w:r>
    </w:p>
    <w:p>
      <w:pPr>
        <w:pStyle w:val="Heading1"/>
      </w:pPr>
      <w:r>
        <w:t>1. Payment Systems Overview</w:t>
      </w:r>
    </w:p>
    <w:p>
      <w:r>
        <w:t>The Bank participates in the following payment systems: RTGS (Real-Time Gross Settlement) operated by the Central Bank, ACH (Automated Clearing House) for batch payments, SWIFT for international wire transfers, and the National Payment Switch for card transactions. The Payment Operations Department manages daily settlement under the oversight of the Head of Operations who reports to the CFO.</w:t>
      </w:r>
    </w:p>
    <w:p>
      <w:pPr>
        <w:pStyle w:val="Heading1"/>
      </w:pPr>
      <w:r>
        <w:t>2. Settlement Risk Management</w:t>
      </w:r>
    </w:p>
    <w:p>
      <w:r>
        <w:t>Pre-funding requirements for RTGS: the Bank must maintain a minimum balance of EGP 200 million in its Central Bank settlement account. Intraday liquidity monitoring is performed by the Treasury Money Market Desk (per Treasury Operations Manual, Section 4). Failed settlements exceeding EGP 50 million must be reported to the CRO and the Operational Risk Committee within 2 hours.</w:t>
      </w:r>
    </w:p>
    <w:p>
      <w:pPr>
        <w:pStyle w:val="Heading1"/>
      </w:pPr>
      <w:r>
        <w:t>3. SWIFT Operations</w:t>
      </w:r>
    </w:p>
    <w:p>
      <w:r>
        <w:t>SWIFT message types MT103 (customer transfers), MT202 (bank transfers), and MT300 (FX confirmations) are processed by the SWIFT Operations Unit. All SWIFT messages undergo sanctions screening before release (per AML Policy, Section 4). The Bank has adopted the SWIFT Customer Security Programme (CSP) and achieves annual attestation. CSP compliance is audited by Internal Audit (per Internal Audit Charter, Section 3).</w:t>
      </w:r>
    </w:p>
    <w:p>
      <w:pPr>
        <w:pStyle w:val="Heading1"/>
      </w:pPr>
      <w:r>
        <w:t>4. Card Payment Operations</w:t>
      </w:r>
    </w:p>
    <w:p>
      <w:r>
        <w:t>The Bank is PCI-DSS Level 1 certified. Card transaction processing is outsourced to PayTech Solutions Ltd. (a Tier-1 vendor per Vendor Risk Management Policy, Section 2.2). Daily card settlement reconciliation must be completed by 10:00 the following business day. Chargebacks exceeding USD 10,000 require Customer Experience Unit involvement per the Consumer Protection Policy, Section 2.</w:t>
      </w:r>
    </w:p>
    <w:p>
      <w:pPr>
        <w:pStyle w:val="Heading1"/>
      </w:pPr>
      <w:r>
        <w:t>5. Correspondent Banking</w:t>
      </w:r>
    </w:p>
    <w:p>
      <w:r>
        <w:t>Correspondent banking relationships are subject to enhanced due diligence per AML Policy Section 2.2. Annual reviews include: KYC refresh, transaction volume analysis, and nested correspondent risk assessment. The Correspondent Banking Unit reports to the Head of Trade Finance who reports to the CFO. Any new correspondent relationship requires Board Credit Committee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