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Recovery and Resolution Plan</w:t>
      </w:r>
    </w:p>
    <w:p>
      <w:r>
        <w:t>Document ID: PLN-RRP-2025-030</w:t>
      </w:r>
    </w:p>
    <w:p>
      <w:r>
        <w:t>Effective Date: January 1, 2025</w:t>
      </w:r>
    </w:p>
    <w:p>
      <w:pPr>
        <w:pStyle w:val="Heading1"/>
      </w:pPr>
      <w:r>
        <w:t>1. Recovery Plan Overview</w:t>
      </w:r>
    </w:p>
    <w:p>
      <w:r>
        <w:t>The Recovery Plan is a Board-approved document identifying credible actions the Bank can take to restore financial health during severe stress without public support. The plan is updated annually under the coordination of the CRO and CFO, with input from Treasury (liquidity recovery actions), Credit Risk (asset disposal options), and Legal (regulatory obligations). The Board Risk Committee reviews and the Board of Directors approves the plan.</w:t>
      </w:r>
    </w:p>
    <w:p>
      <w:pPr>
        <w:pStyle w:val="Heading1"/>
      </w:pPr>
      <w:r>
        <w:t>2. Recovery Indicators and Triggers</w:t>
      </w:r>
    </w:p>
    <w:p>
      <w:r>
        <w:t>Recovery plan activation is based on quantitative indicators: (a) CET1 ratio below 10.5% (normal operating minimum per Capital Adequacy Policy: 12.5%), (b) Total Capital Ratio below 14%, (c) LCR below 100% for 3 consecutive days (per Liquidity Policy), (d) NSFR below 100%, (e) Single-day deposit outflow exceeding 5% of total deposits, (f) Credit rating downgrade by 2+ notches. Each trigger has an owner: CRO monitors capital triggers, CFO/Treasury monitors liquidity triggers.</w:t>
      </w:r>
    </w:p>
    <w:p>
      <w:pPr>
        <w:pStyle w:val="Heading1"/>
      </w:pPr>
      <w:r>
        <w:t>3. Recovery Actions</w:t>
      </w:r>
    </w:p>
    <w:p>
      <w:pPr>
        <w:pStyle w:val="Heading2"/>
      </w:pPr>
      <w:r>
        <w:t>3.1 Capital Recovery</w:t>
      </w:r>
    </w:p>
    <w:p>
      <w:r>
        <w:t>Capital recovery actions in order of severity: (a) Suspend dividend payments (Board decision, notify Central Bank), (b) Activate AT1 instrument terms (conversion or write-down per Capital Adequacy Policy Section 4), (c) Sell non-core subsidiaries or investment portfolio assets (ALCO authorization, execution by Treasury), (d) Emergency rights issue (Board and shareholder approval, 90-day timeline), (e) Asset portfolio run-off — cease new lending in non-priority segments (Board Credit Committee decision).</w:t>
      </w:r>
    </w:p>
    <w:p>
      <w:pPr>
        <w:pStyle w:val="Heading2"/>
      </w:pPr>
      <w:r>
        <w:t>3.2 Liquidity Recovery</w:t>
      </w:r>
    </w:p>
    <w:p>
      <w:r>
        <w:t>Liquidity recovery actions: (a) Activate Contingency Funding Plan (per Liquidity Policy Section 5), (b) Access Central Bank lending facilities — Emergency Liquidity Assistance (ELA) with eligible collateral, (c) Conduct emergency repo operations on HQLA portfolio (Treasury execution), (d) Restrict large withdrawals above EGP 5 million to 24-hour notice (regulatory approval required), (e) Interbank line drawdown from pre-arranged committed facilities.</w:t>
      </w:r>
    </w:p>
    <w:p>
      <w:pPr>
        <w:pStyle w:val="Heading1"/>
      </w:pPr>
      <w:r>
        <w:t>4. Communication Plan</w:t>
      </w:r>
    </w:p>
    <w:p>
      <w:r>
        <w:t>Recovery plan activation communication: (a) Board Chairman informed immediately, (b) Central Bank Governor's office notified within 6 hours by the CEO, (c) External auditors notified within 24 hours by the CFO, (d) Public communication (if required) managed by Corporate Communications with Board and Central Bank pre-approval, (e) Staff communication via internal memo by HR per the HR Policy crisis communication module.</w:t>
      </w:r>
    </w:p>
    <w:p>
      <w:pPr>
        <w:pStyle w:val="Heading1"/>
      </w:pPr>
      <w:r>
        <w:t>5. Resolution Planning</w:t>
      </w:r>
    </w:p>
    <w:p>
      <w:r>
        <w:t>The Resolution Plan is maintained in coordination with the Central Bank's Resolution Authority. Key components: (a) Critical functions mapping (aligned with BCM Policy business impact analysis), (b) Bail-in eligible liabilities identification per Capital Adequacy Policy, (c) Separability analysis for subsidiaries, (d) Access to Financial Market Infrastructures (RTGS, SWIFT, ACH per Payment Systems Policy), (e) MIS capabilities to provide resolution authority with required data within 24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