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Related Party Transactions Policy</w:t>
      </w:r>
    </w:p>
    <w:p>
      <w:r>
        <w:t>Document ID: POL-RPT-2025-024</w:t>
      </w:r>
    </w:p>
    <w:p>
      <w:r>
        <w:t>Effective Date: January 1, 2025</w:t>
      </w:r>
    </w:p>
    <w:p>
      <w:pPr>
        <w:pStyle w:val="Heading1"/>
      </w:pPr>
      <w:r>
        <w:t>1. Definition of Related Parties</w:t>
      </w:r>
    </w:p>
    <w:p>
      <w:r>
        <w:t>Related parties include: Board members and their immediate family (spouse, parents, children), senior management (C-suite and department heads), major shareholders (holding 5% or more of voting shares), subsidiaries and affiliates, and entities where the Bank's Board members or senior management hold significant influence. The Compliance Department maintains the Related Party Register, updated quarterly.</w:t>
      </w:r>
    </w:p>
    <w:p>
      <w:pPr>
        <w:pStyle w:val="Heading1"/>
      </w:pPr>
      <w:r>
        <w:t>2. Transaction Limits</w:t>
      </w:r>
    </w:p>
    <w:p>
      <w:r>
        <w:t>Aggregate exposure to all related parties must not exceed 20% of the Bank's Tier-1 capital. Individual related party exposure must not exceed 5% of Tier-1 capital. These limits align with Central Bank large exposure regulations and the Capital Adequacy Policy, Section 5.2. Credit facilities to related parties must be on arms-length terms as verified by the Credit Risk Unit.</w:t>
      </w:r>
    </w:p>
    <w:p>
      <w:pPr>
        <w:pStyle w:val="Heading1"/>
      </w:pPr>
      <w:r>
        <w:t>3. Approval Requirements</w:t>
      </w:r>
    </w:p>
    <w:p>
      <w:r>
        <w:t>All related party transactions require: (a) independent director approval (majority of independent Board members), (b) competitive market terms verification by the relevant business unit, (c) Compliance Department confirmation that the transaction is within limits, (d) Internal Audit post-transaction review within 30 days. Board members must recuse themselves from voting on transactions involving them personally.</w:t>
      </w:r>
    </w:p>
    <w:p>
      <w:pPr>
        <w:pStyle w:val="Heading1"/>
      </w:pPr>
      <w:r>
        <w:t>4. Disclosure Requirements</w:t>
      </w:r>
    </w:p>
    <w:p>
      <w:r>
        <w:t>Related party transactions are disclosed: (a) in the Bank's annual financial statements per IAS 24, (b) in regulatory returns to the Central Bank (quarterly), (c) to the BACC at each meeting. The CCO provides an annual Related Party Transaction Summary to the Board Governance Committee, including any new relationships, limit utilization, and compliance exceptions.</w:t>
      </w:r>
    </w:p>
    <w:p>
      <w:pPr>
        <w:pStyle w:val="Heading1"/>
      </w:pPr>
      <w:r>
        <w:t>5. Monitoring and Reporting</w:t>
      </w:r>
    </w:p>
    <w:p>
      <w:r>
        <w:t>The Credit Risk Unit flags any credit facility that approaches 80% of the individual related party limit. The Treasury Department flags any investment or trading transaction with related party counterparties to the CCO before execution. The Internal Audit Charter (Section 3) includes annual review of related party transaction compliance as a mandatory audit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