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Remuneration and Incentive Policy</w:t>
      </w:r>
    </w:p>
    <w:p>
      <w:r>
        <w:t>Document ID: POL-REM-2025-029</w:t>
      </w:r>
    </w:p>
    <w:p>
      <w:r>
        <w:t>Effective Date: January 1, 2025</w:t>
      </w:r>
    </w:p>
    <w:p>
      <w:pPr>
        <w:pStyle w:val="Heading1"/>
      </w:pPr>
      <w:r>
        <w:t>1. Remuneration Governance</w:t>
      </w:r>
    </w:p>
    <w:p>
      <w:r>
        <w:t>The Board Remuneration Committee (BRemC) oversees the Bank's remuneration framework. BRemC membership comprises at least 3 independent non-executive directors. The committee meets quarterly and reports to the Board of Directors. The CRO and CCO attend BRemC meetings as permanent invitees to provide risk and compliance input on incentive structures.</w:t>
      </w:r>
    </w:p>
    <w:p>
      <w:pPr>
        <w:pStyle w:val="Heading1"/>
      </w:pPr>
      <w:r>
        <w:t>2. Risk-Adjusted Compensation</w:t>
      </w:r>
    </w:p>
    <w:p>
      <w:r>
        <w:t>Variable compensation for Material Risk Takers (MRTs) — including all C-suite, department heads, and trading desk senior dealers — is subject to: (a) maximum variable-to-fixed ratio of 200%, (b) at least 40% deferral over 3 years (60% for senior executives), (c) at least 50% of deferred variable paid in equity-linked instruments. MRTs are identified annually by the CRO based on quantitative and qualitative criteria per Central Bank guidance.</w:t>
      </w:r>
    </w:p>
    <w:p>
      <w:pPr>
        <w:pStyle w:val="Heading1"/>
      </w:pPr>
      <w:r>
        <w:t>3. Malus and Clawback</w:t>
      </w:r>
    </w:p>
    <w:p>
      <w:r>
        <w:t>Deferred compensation is subject to malus (reduction) and clawback (recovery) provisions. Trigger events include: (a) material financial restatement affecting the unit's performance, (b) individual misconduct (fraud, compliance violations per HR Policy Section 5), (c) risk management failures resulting in losses exceeding the unit's risk appetite, (d) regulatory enforcement action attributable to the individual. The BRemC decides on malus/clawback activation with CRO and CCO input.</w:t>
      </w:r>
    </w:p>
    <w:p>
      <w:pPr>
        <w:pStyle w:val="Heading1"/>
      </w:pPr>
      <w:r>
        <w:t>4. Trading Desk Incentives</w:t>
      </w:r>
    </w:p>
    <w:p>
      <w:r>
        <w:t>FX Trading Desk, Fixed Income, and Equities desk compensation is based on: (a) 60% risk-adjusted P&amp;L (net of VaR-based capital charges per Market Risk Framework), (b) 20% compliance and control metrics (limit breaches, trade errors, regulatory findings), (c) 20% qualitative assessment (teamwork, knowledge sharing, client relationship). Desk heads certify that P&amp;L figures used for bonus calculations are reconciled with Finance Department records.</w:t>
      </w:r>
    </w:p>
    <w:p>
      <w:pPr>
        <w:pStyle w:val="Heading1"/>
      </w:pPr>
      <w:r>
        <w:t>5. Disclosure</w:t>
      </w:r>
    </w:p>
    <w:p>
      <w:r>
        <w:t>The Bank discloses remuneration information in the annual report per Central Bank Pillar 3 requirements and following the Capital Adequacy Policy disclosure schedule. Disclosures include: aggregate remuneration by business area, number of MRTs, deferred remuneration details, and any malus/clawback activations during the year. The BRemC Chair presents the Remuneration Report to shareholders at the Annual General Meeting.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