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Sanctions Compliance Policy</w:t>
      </w:r>
    </w:p>
    <w:p>
      <w:r>
        <w:t>Document ID: POL-SAN-2025-028</w:t>
      </w:r>
    </w:p>
    <w:p>
      <w:r>
        <w:t>Effective Date: January 1, 2025</w:t>
      </w:r>
    </w:p>
    <w:p>
      <w:pPr>
        <w:pStyle w:val="Heading1"/>
      </w:pPr>
      <w:r>
        <w:t>1. Sanctions Program Governance</w:t>
      </w:r>
    </w:p>
    <w:p>
      <w:r>
        <w:t>The Sanctions Compliance Program is managed by the Sanctions Officer who reports to the CCO. The Compliance Committee provides strategic direction. The Board Audit and Compliance Committee (BACC) approves the annual Sanctions Risk Assessment. The Bank maintains zero tolerance for sanctions violations. Any intentional circumvention is grounds for immediate termination per the HR Policy disciplinary framework.</w:t>
      </w:r>
    </w:p>
    <w:p>
      <w:pPr>
        <w:pStyle w:val="Heading1"/>
      </w:pPr>
      <w:r>
        <w:t>2. Screening Requirements</w:t>
      </w:r>
    </w:p>
    <w:p>
      <w:r>
        <w:t>Screening is performed against: UN Security Council Consolidated List, OFAC SDN and Sectoral Sanctions lists, EU Consolidated Sanctions List, Central Bank of Egypt restricted list, and any additional lists designated by the Compliance Committee. Screening triggers: customer onboarding, all wire transfers (SWIFT MT103, MT202), periodic batch re-screening (monthly for all customers), and any name/address change in customer records.</w:t>
      </w:r>
    </w:p>
    <w:p>
      <w:pPr>
        <w:pStyle w:val="Heading1"/>
      </w:pPr>
      <w:r>
        <w:t>3. Alert Handling</w:t>
      </w:r>
    </w:p>
    <w:p>
      <w:r>
        <w:t>Screening alerts are categorized as: Exact Match (automatic freeze), Close Match (manual review within 4 hours), and Possible Match (manual review within 24 hours). Alert disposition must be documented with rationale. The Sanctions Officer reviews all Exact and Close Match dispositions. Monthly alert statistics are reported to the Compliance Committee. False-positive rates exceeding 98% trigger system calibration review by the vendor (per Vendor Risk Management Policy, Tier-1 monitoring requirements).</w:t>
      </w:r>
    </w:p>
    <w:p>
      <w:pPr>
        <w:pStyle w:val="Heading1"/>
      </w:pPr>
      <w:r>
        <w:t>4. Sanctions Breach Procedures</w:t>
      </w:r>
    </w:p>
    <w:p>
      <w:r>
        <w:t>In the event of a confirmed sanctions breach: (a) the transaction is immediately frozen, (b) the Sanctions Officer notifies the CCO within 1 hour, (c) the CCO notifies the CEO and Legal Department within 2 hours, (d) regulatory notification to the Central Bank and relevant sanctions authority within 24 hours, (e) the Board Chairman is informed within 48 hours. External legal counsel is engaged immediately for OFAC-related breaches. All sanctions breaches are reportable operational risk events per the Operational Risk Framework, Section 3.</w:t>
      </w:r>
    </w:p>
    <w:p>
      <w:pPr>
        <w:pStyle w:val="Heading1"/>
      </w:pPr>
      <w:r>
        <w:t>5. Correspondent Banking Sanctions Risk</w:t>
      </w:r>
    </w:p>
    <w:p>
      <w:r>
        <w:t>Correspondent banking relationships receive enhanced sanctions scrutiny. Downstream correspondent (nested) risk is assessed during onboarding and annually (per AML Policy Section 2.2 and Payment Systems Policy Section 5). The Bank does not process payable-through account transactions. SWIFT MT202COV messages require both originator and beneficiary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