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Stress Testing Framework</w:t>
      </w:r>
    </w:p>
    <w:p>
      <w:r>
        <w:t>Document ID: FRM-STR-2025-027</w:t>
      </w:r>
    </w:p>
    <w:p>
      <w:r>
        <w:t>Effective Date: January 1, 2025</w:t>
      </w:r>
    </w:p>
    <w:p>
      <w:pPr>
        <w:pStyle w:val="Heading1"/>
      </w:pPr>
      <w:r>
        <w:t>1. Stress Testing Governance</w:t>
      </w:r>
    </w:p>
    <w:p>
      <w:r>
        <w:t>The Enterprise Stress Testing Program is overseen by the CRO and governed by the Board Risk Committee (BRC). The Risk Analytics Unit designs scenarios and executes stress tests. Results inform: (a) capital planning per Capital Adequacy Policy, (b) liquidity contingency planning per Liquidity Policy, (c) risk appetite calibration, (d) recovery plan triggers. The Central Bank mandates annual stress testing submissions per Circular 2024/ST/001.</w:t>
      </w:r>
    </w:p>
    <w:p>
      <w:pPr>
        <w:pStyle w:val="Heading1"/>
      </w:pPr>
      <w:r>
        <w:t>2. Scenario Design</w:t>
      </w:r>
    </w:p>
    <w:p>
      <w:r>
        <w:t>Three scenario types are maintained: (a) Historical — replication of 2008 financial crisis, 2011 Egyptian revolution, 2016 devaluation, 2023 currency crisis, (b) Hypothetical — designed around emerging risks (pandemic, cyberattack, geopolitical escalation), (c) Reverse stress testing — identifies scenarios that would render the Bank non-viable (capital ratio below the regulatory minimum of 12.5% per Capital Adequacy Policy, Section 2).</w:t>
      </w:r>
    </w:p>
    <w:p>
      <w:pPr>
        <w:pStyle w:val="Heading1"/>
      </w:pPr>
      <w:r>
        <w:t>3. Impact Assessment</w:t>
      </w:r>
    </w:p>
    <w:p>
      <w:r>
        <w:t>Stress test impacts are measured across: (a) Credit losses — PD and LGD shocks applied to the loan portfolio using IFRS 9 ECL models (per IFRS 9 Policy), (b) Market losses — VaR and stressed VaR recalculation (per Market Risk Framework), (c) Operational losses — scenario-based estimation using Operational Risk Framework methodology, (d) Liquidity impact — projected outflows and HQLA haircuts per Liquidity Policy stress parameters.</w:t>
      </w:r>
    </w:p>
    <w:p>
      <w:pPr>
        <w:pStyle w:val="Heading1"/>
      </w:pPr>
      <w:r>
        <w:t>4. Recovery Plan Integration</w:t>
      </w:r>
    </w:p>
    <w:p>
      <w:r>
        <w:t>The Bank's Recovery Plan identifies recovery actions to be taken when stress test indicators breach early warning triggers: (a) Capital ratio below 14% (regulatory minimum is 12.5%) — ALCO convenes within 48 hours to assess capital actions, (b) LCR below 110% — Treasury activates the Contingency Funding Plan (per Liquidity Policy Section 5), (c) CET1 ratio below 10% — Board of Directors emergency meeting within 24 hours to approve capital restoration plan. Recovery Plan is tested annually via tabletop exercise.</w:t>
      </w:r>
    </w:p>
    <w:p>
      <w:pPr>
        <w:pStyle w:val="Heading1"/>
      </w:pPr>
      <w:r>
        <w:t>5. Reporting and Communication</w:t>
      </w:r>
    </w:p>
    <w:p>
      <w:r>
        <w:t>Stress test results are: (a) presented to the BRC within 30 days of completion, (b) submitted to the Central Bank per regulatory deadline, (c) shared with ALCO for capital and liquidity planning, (d) included in the Annual Risk Report to the Board. Key stress test metrics are: peak-to-trough capital ratio, maximum liquidity surplus/deficit, projected net income impact, and time to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