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Treasury Operations Manual</w:t>
      </w:r>
    </w:p>
    <w:p>
      <w:r>
        <w:t>Document ID: MAN-TREAS-2025-011</w:t>
      </w:r>
    </w:p>
    <w:p>
      <w:r>
        <w:t>Effective Date: January 1, 2025</w:t>
      </w:r>
    </w:p>
    <w:p>
      <w:pPr>
        <w:pStyle w:val="Heading1"/>
      </w:pPr>
      <w:r>
        <w:t>1. Treasury Department Structure</w:t>
      </w:r>
    </w:p>
    <w:p>
      <w:r>
        <w:t>The Treasury Department is headed by the Chief Treasury Officer (CTO), who reports directly to the Chief Financial Officer (CFO). The department comprises three desks: the Money Market Desk, the FX Trading Desk, and the Investment Securities Desk. Each desk is managed by a Senior Dealer who reports to the CTO.</w:t>
      </w:r>
    </w:p>
    <w:p>
      <w:pPr>
        <w:pStyle w:val="Heading1"/>
      </w:pPr>
      <w:r>
        <w:t>2. Dealing Room Protocols</w:t>
      </w:r>
    </w:p>
    <w:p>
      <w:pPr>
        <w:pStyle w:val="Heading2"/>
      </w:pPr>
      <w:r>
        <w:t>2.1 Pre-Trade Checks</w:t>
      </w:r>
    </w:p>
    <w:p>
      <w:r>
        <w:t>Before executing any trade, dealers must verify: (a) the counterparty limit via the Credit Administration System (CAS), (b) the instrument limit as defined in the Investment Policy (Document POL-INV-2025-018, Section 4.2), and (c) the aggregate position limit. The FX Trading Desk must additionally verify compliance with the Central Bank net open position (NOP) ceiling of 10% of Tier-1 capital as per the FX Policy.</w:t>
      </w:r>
    </w:p>
    <w:p>
      <w:pPr>
        <w:pStyle w:val="Heading2"/>
      </w:pPr>
      <w:r>
        <w:t>2.2 Trade Execution</w:t>
      </w:r>
    </w:p>
    <w:p>
      <w:r>
        <w:t>All interbank FX trades exceeding USD 500,000 must be executed via the Bloomberg Terminal or Reuters Dealing. Trades below this threshold may be executed via telephone with mandatory voice recording. Every trade must be logged in the Treasury Management System (TMS-T) within 15 minutes of execution. The FX Trading Desk must report all daily positions to the Market Risk Unit by 16:00 local time.</w:t>
      </w:r>
    </w:p>
    <w:p>
      <w:pPr>
        <w:pStyle w:val="Heading1"/>
      </w:pPr>
      <w:r>
        <w:t>3. Liquidity Buffer Management</w:t>
      </w:r>
    </w:p>
    <w:p>
      <w:r>
        <w:t>The Treasury Department maintains the High-Quality Liquid Assets (HQLA) portfolio to meet the Liquidity Coverage Ratio (LCR) requirement. The minimum LCR target is 120%, exceeding the regulatory minimum of 100% as specified in the Liquidity Policy (Section 2.2). The HQLA portfolio composition is reviewed weekly by the Asset and Liability Committee (ALCO).</w:t>
      </w:r>
    </w:p>
    <w:p>
      <w:pPr>
        <w:pStyle w:val="Heading1"/>
      </w:pPr>
      <w:r>
        <w:t>4. Funding Operations</w:t>
      </w:r>
    </w:p>
    <w:p>
      <w:r>
        <w:t>Daily funding requirements are determined by the Money Market Desk based on projected cash flows from the Operations Settlement Unit. Any funding shortfall exceeding EGP 500 million must be escalated to the CTO and the ALCO Chair. Emergency funding above EGP 1 billion triggers the Contingency Funding Plan (CFP) as defined in the Liquidity Policy, Section 5.</w:t>
      </w:r>
    </w:p>
    <w:p>
      <w:pPr>
        <w:pStyle w:val="Heading1"/>
      </w:pPr>
      <w:r>
        <w:t>5. Counterparty Risk in Treasury</w:t>
      </w:r>
    </w:p>
    <w:p>
      <w:r>
        <w:t>Treasury counterparty exposure is monitored by the Credit Risk Unit using limits set by the Board Credit Committee. Pre-settlement Risk (PSR) for FX transactions is calculated at 3% of notional for spot and 6% for forwards. Any breach of counterparty limits must be reported to the Chief Risk Officer (CRO) within 1 hour and to the Board Risk Committee (BRC) at the next scheduled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